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kern w:val="0"/>
          <w:sz w:val="36"/>
          <w:szCs w:val="36"/>
        </w:rPr>
      </w:pPr>
    </w:p>
    <w:p>
      <w:pPr>
        <w:rPr>
          <w:rFonts w:hint="default" w:ascii="Times New Roman" w:hAnsi="Times New Roman" w:eastAsia="宋体" w:cs="Times New Roman"/>
          <w:kern w:val="0"/>
          <w:sz w:val="36"/>
          <w:szCs w:val="36"/>
        </w:rPr>
      </w:pPr>
    </w:p>
    <w:p>
      <w:pPr>
        <w:rPr>
          <w:rFonts w:hint="default" w:ascii="Times New Roman" w:hAnsi="Times New Roman" w:eastAsia="宋体" w:cs="Times New Roman"/>
          <w:kern w:val="0"/>
          <w:sz w:val="36"/>
          <w:szCs w:val="36"/>
        </w:rPr>
      </w:pPr>
    </w:p>
    <w:p>
      <w:pPr>
        <w:rPr>
          <w:rFonts w:hint="default" w:ascii="Times New Roman" w:hAnsi="Times New Roman" w:eastAsia="宋体" w:cs="Times New Roman"/>
          <w:kern w:val="0"/>
          <w:sz w:val="36"/>
          <w:szCs w:val="36"/>
        </w:rPr>
      </w:pPr>
    </w:p>
    <w:p>
      <w:pPr>
        <w:rPr>
          <w:rFonts w:hint="default" w:ascii="Times New Roman" w:hAnsi="Times New Roman" w:eastAsia="宋体" w:cs="Times New Roman"/>
          <w:kern w:val="0"/>
          <w:sz w:val="36"/>
          <w:szCs w:val="36"/>
        </w:rPr>
      </w:pPr>
    </w:p>
    <w:p>
      <w:pPr>
        <w:adjustRightInd w:val="0"/>
        <w:snapToGrid w:val="0"/>
        <w:jc w:val="center"/>
        <w:outlineLvl w:val="0"/>
        <w:rPr>
          <w:rFonts w:hint="default" w:ascii="Times New Roman" w:hAnsi="Times New Roman" w:eastAsia="宋体" w:cs="Times New Roman"/>
          <w:bCs/>
          <w:kern w:val="0"/>
          <w:sz w:val="72"/>
          <w:szCs w:val="72"/>
        </w:rPr>
      </w:pPr>
      <w:r>
        <w:rPr>
          <w:rFonts w:hint="default" w:ascii="Times New Roman" w:hAnsi="Times New Roman" w:eastAsia="宋体" w:cs="Times New Roman"/>
          <w:bCs/>
          <w:kern w:val="0"/>
          <w:sz w:val="72"/>
          <w:szCs w:val="72"/>
        </w:rPr>
        <w:t>建设项目环境影响报告表</w:t>
      </w:r>
    </w:p>
    <w:p>
      <w:pPr>
        <w:adjustRightInd w:val="0"/>
        <w:snapToGrid w:val="0"/>
        <w:spacing w:before="192" w:beforeLines="80"/>
        <w:jc w:val="center"/>
        <w:rPr>
          <w:rFonts w:hint="default" w:ascii="Times New Roman" w:hAnsi="Times New Roman" w:eastAsia="宋体" w:cs="Times New Roman"/>
          <w:bCs/>
          <w:kern w:val="0"/>
          <w:sz w:val="48"/>
          <w:szCs w:val="48"/>
        </w:rPr>
      </w:pPr>
      <w:r>
        <w:rPr>
          <w:rFonts w:hint="default" w:ascii="Times New Roman" w:hAnsi="Times New Roman" w:eastAsia="宋体" w:cs="Times New Roman"/>
          <w:bCs/>
          <w:kern w:val="0"/>
          <w:sz w:val="48"/>
          <w:szCs w:val="48"/>
        </w:rPr>
        <w:t>（污染影响类）</w:t>
      </w:r>
    </w:p>
    <w:p>
      <w:pPr>
        <w:adjustRightInd w:val="0"/>
        <w:snapToGrid w:val="0"/>
        <w:spacing w:line="288" w:lineRule="auto"/>
        <w:jc w:val="center"/>
        <w:outlineLvl w:val="0"/>
        <w:rPr>
          <w:rFonts w:hint="default" w:ascii="Times New Roman" w:hAnsi="Times New Roman" w:eastAsia="宋体" w:cs="Times New Roman"/>
          <w:color w:val="000000"/>
          <w:kern w:val="0"/>
          <w:sz w:val="44"/>
          <w:szCs w:val="44"/>
        </w:rPr>
      </w:pPr>
    </w:p>
    <w:p>
      <w:pPr>
        <w:jc w:val="center"/>
        <w:rPr>
          <w:rFonts w:hint="default" w:ascii="Times New Roman" w:hAnsi="Times New Roman" w:eastAsia="宋体" w:cs="Times New Roman"/>
          <w:kern w:val="0"/>
          <w:sz w:val="52"/>
          <w:szCs w:val="52"/>
        </w:rPr>
      </w:pPr>
    </w:p>
    <w:p>
      <w:pPr>
        <w:ind w:firstLine="1040"/>
        <w:rPr>
          <w:rFonts w:hint="default" w:ascii="Times New Roman" w:hAnsi="Times New Roman" w:eastAsia="宋体" w:cs="Times New Roman"/>
          <w:kern w:val="0"/>
          <w:sz w:val="44"/>
          <w:szCs w:val="44"/>
        </w:rPr>
      </w:pPr>
    </w:p>
    <w:p>
      <w:pPr>
        <w:ind w:firstLine="1040"/>
        <w:rPr>
          <w:rFonts w:hint="default" w:ascii="Times New Roman" w:hAnsi="Times New Roman" w:eastAsia="宋体" w:cs="Times New Roman"/>
          <w:kern w:val="0"/>
          <w:sz w:val="44"/>
          <w:szCs w:val="44"/>
        </w:rPr>
      </w:pPr>
    </w:p>
    <w:p>
      <w:pPr>
        <w:ind w:firstLine="1040"/>
        <w:rPr>
          <w:rFonts w:hint="default" w:ascii="Times New Roman" w:hAnsi="Times New Roman" w:eastAsia="宋体" w:cs="Times New Roman"/>
          <w:kern w:val="0"/>
          <w:sz w:val="44"/>
          <w:szCs w:val="44"/>
        </w:rPr>
      </w:pPr>
    </w:p>
    <w:p>
      <w:pPr>
        <w:ind w:firstLine="1040"/>
        <w:rPr>
          <w:rFonts w:hint="default" w:ascii="Times New Roman" w:hAnsi="Times New Roman" w:eastAsia="宋体" w:cs="Times New Roman"/>
          <w:kern w:val="0"/>
          <w:sz w:val="44"/>
          <w:szCs w:val="44"/>
        </w:rPr>
      </w:pPr>
    </w:p>
    <w:p>
      <w:pPr>
        <w:adjustRightInd w:val="0"/>
        <w:snapToGrid w:val="0"/>
        <w:spacing w:line="360" w:lineRule="auto"/>
        <w:ind w:firstLine="720" w:firstLineChars="200"/>
        <w:rPr>
          <w:rFonts w:hint="default" w:ascii="Times New Roman" w:hAnsi="Times New Roman" w:eastAsia="宋体" w:cs="Times New Roman"/>
          <w:kern w:val="0"/>
          <w:sz w:val="32"/>
          <w:szCs w:val="32"/>
          <w:u w:val="single"/>
        </w:rPr>
      </w:pPr>
      <w:r>
        <w:rPr>
          <w:rFonts w:hint="default" w:ascii="Times New Roman" w:hAnsi="Times New Roman" w:eastAsia="宋体" w:cs="Times New Roman"/>
          <w:kern w:val="0"/>
          <w:sz w:val="36"/>
          <w:szCs w:val="36"/>
        </w:rPr>
        <w:t>项目名称：</w:t>
      </w:r>
      <w:r>
        <w:rPr>
          <w:rFonts w:hint="default" w:ascii="Times New Roman" w:hAnsi="Times New Roman" w:eastAsia="宋体" w:cs="Times New Roman"/>
          <w:kern w:val="0"/>
          <w:sz w:val="32"/>
          <w:szCs w:val="32"/>
          <w:u w:val="single"/>
        </w:rPr>
        <w:t>淄博圣彩玻璃制品有限公司</w:t>
      </w:r>
    </w:p>
    <w:p>
      <w:pPr>
        <w:adjustRightInd w:val="0"/>
        <w:snapToGrid w:val="0"/>
        <w:spacing w:line="360" w:lineRule="auto"/>
        <w:ind w:firstLine="640" w:firstLineChars="200"/>
        <w:jc w:val="center"/>
        <w:rPr>
          <w:rFonts w:hint="default" w:ascii="Times New Roman" w:hAnsi="Times New Roman" w:eastAsia="宋体" w:cs="Times New Roman"/>
          <w:kern w:val="0"/>
          <w:sz w:val="32"/>
          <w:szCs w:val="32"/>
          <w:u w:val="single"/>
        </w:rPr>
      </w:pPr>
      <w:r>
        <w:rPr>
          <w:rFonts w:hint="default" w:ascii="Times New Roman" w:hAnsi="Times New Roman" w:eastAsia="宋体" w:cs="Times New Roman"/>
          <w:kern w:val="0"/>
          <w:sz w:val="32"/>
          <w:szCs w:val="32"/>
          <w:u w:val="single"/>
        </w:rPr>
        <w:t>建设年产80万只玻璃杯技术改造项目</w:t>
      </w:r>
    </w:p>
    <w:p>
      <w:pPr>
        <w:adjustRightInd w:val="0"/>
        <w:snapToGrid w:val="0"/>
        <w:spacing w:line="360" w:lineRule="auto"/>
        <w:jc w:val="center"/>
        <w:rPr>
          <w:rFonts w:hint="default" w:ascii="Times New Roman" w:hAnsi="Times New Roman" w:eastAsia="宋体" w:cs="Times New Roman"/>
          <w:kern w:val="0"/>
          <w:sz w:val="36"/>
          <w:szCs w:val="36"/>
          <w:u w:val="single"/>
        </w:rPr>
      </w:pPr>
      <w:r>
        <w:rPr>
          <w:rFonts w:hint="default" w:ascii="Times New Roman" w:hAnsi="Times New Roman" w:eastAsia="宋体" w:cs="Times New Roman"/>
          <w:kern w:val="0"/>
          <w:sz w:val="36"/>
          <w:szCs w:val="36"/>
        </w:rPr>
        <w:t>建设单位（盖章）：</w:t>
      </w:r>
      <w:r>
        <w:rPr>
          <w:rFonts w:hint="default" w:ascii="Times New Roman" w:hAnsi="Times New Roman" w:eastAsia="宋体" w:cs="Times New Roman"/>
          <w:kern w:val="0"/>
          <w:sz w:val="32"/>
          <w:szCs w:val="32"/>
          <w:u w:val="single"/>
        </w:rPr>
        <w:t>淄博圣彩玻璃制品有限公司</w:t>
      </w:r>
    </w:p>
    <w:p>
      <w:pPr>
        <w:adjustRightInd w:val="0"/>
        <w:snapToGrid w:val="0"/>
        <w:spacing w:line="360" w:lineRule="auto"/>
        <w:ind w:firstLine="720" w:firstLineChars="200"/>
        <w:rPr>
          <w:rFonts w:hint="default" w:ascii="Times New Roman" w:hAnsi="Times New Roman" w:eastAsia="宋体" w:cs="Times New Roman"/>
          <w:kern w:val="0"/>
          <w:sz w:val="36"/>
          <w:szCs w:val="36"/>
          <w:u w:val="single"/>
        </w:rPr>
      </w:pPr>
      <w:r>
        <w:rPr>
          <w:rFonts w:hint="default" w:ascii="Times New Roman" w:hAnsi="Times New Roman" w:eastAsia="宋体" w:cs="Times New Roman"/>
          <w:kern w:val="0"/>
          <w:sz w:val="36"/>
          <w:szCs w:val="36"/>
        </w:rPr>
        <w:t>编制日期：</w:t>
      </w:r>
      <w:r>
        <w:rPr>
          <w:rFonts w:hint="default" w:ascii="Times New Roman" w:hAnsi="Times New Roman" w:eastAsia="宋体" w:cs="Times New Roman"/>
          <w:kern w:val="0"/>
          <w:sz w:val="32"/>
          <w:szCs w:val="32"/>
          <w:u w:val="single"/>
        </w:rPr>
        <w:t xml:space="preserve">             2021年11月           </w:t>
      </w:r>
    </w:p>
    <w:p>
      <w:pPr>
        <w:adjustRightInd w:val="0"/>
        <w:snapToGrid w:val="0"/>
        <w:spacing w:line="288" w:lineRule="auto"/>
        <w:ind w:firstLine="1040"/>
        <w:rPr>
          <w:rFonts w:hint="default" w:ascii="Times New Roman" w:hAnsi="Times New Roman" w:eastAsia="宋体" w:cs="Times New Roman"/>
          <w:kern w:val="0"/>
          <w:sz w:val="36"/>
          <w:szCs w:val="36"/>
          <w:u w:val="single"/>
        </w:rPr>
      </w:pPr>
      <w:bookmarkStart w:id="0" w:name="_Hlk57884087"/>
    </w:p>
    <w:p>
      <w:pPr>
        <w:adjustRightInd w:val="0"/>
        <w:snapToGrid w:val="0"/>
        <w:spacing w:line="288" w:lineRule="auto"/>
        <w:ind w:firstLine="1040"/>
        <w:rPr>
          <w:rFonts w:hint="default" w:ascii="Times New Roman" w:hAnsi="Times New Roman" w:eastAsia="宋体" w:cs="Times New Roman"/>
          <w:kern w:val="0"/>
          <w:sz w:val="36"/>
          <w:szCs w:val="36"/>
        </w:rPr>
      </w:pPr>
    </w:p>
    <w:p>
      <w:pPr>
        <w:adjustRightInd w:val="0"/>
        <w:snapToGrid w:val="0"/>
        <w:spacing w:line="288" w:lineRule="auto"/>
        <w:ind w:firstLine="1040"/>
        <w:rPr>
          <w:rFonts w:hint="default" w:ascii="Times New Roman" w:hAnsi="Times New Roman" w:eastAsia="宋体" w:cs="Times New Roman"/>
          <w:kern w:val="0"/>
          <w:sz w:val="36"/>
          <w:szCs w:val="36"/>
        </w:rPr>
      </w:pPr>
    </w:p>
    <w:p>
      <w:pPr>
        <w:adjustRightInd w:val="0"/>
        <w:snapToGrid w:val="0"/>
        <w:spacing w:line="288" w:lineRule="auto"/>
        <w:ind w:firstLine="1040"/>
        <w:rPr>
          <w:rFonts w:hint="default" w:ascii="Times New Roman" w:hAnsi="Times New Roman" w:eastAsia="宋体" w:cs="Times New Roman"/>
          <w:kern w:val="0"/>
          <w:sz w:val="36"/>
          <w:szCs w:val="36"/>
        </w:rPr>
      </w:pPr>
    </w:p>
    <w:p>
      <w:pPr>
        <w:adjustRightInd w:val="0"/>
        <w:snapToGrid w:val="0"/>
        <w:spacing w:line="288" w:lineRule="auto"/>
        <w:ind w:firstLine="1040"/>
        <w:rPr>
          <w:rFonts w:hint="default" w:ascii="Times New Roman" w:hAnsi="Times New Roman" w:eastAsia="宋体" w:cs="Times New Roman"/>
          <w:kern w:val="0"/>
          <w:sz w:val="36"/>
          <w:szCs w:val="36"/>
        </w:rPr>
      </w:pPr>
    </w:p>
    <w:bookmarkEnd w:id="0"/>
    <w:p>
      <w:pPr>
        <w:adjustRightInd w:val="0"/>
        <w:snapToGrid w:val="0"/>
        <w:spacing w:line="288" w:lineRule="auto"/>
        <w:jc w:val="center"/>
        <w:rPr>
          <w:rFonts w:hint="default" w:ascii="Times New Roman" w:hAnsi="Times New Roman" w:eastAsia="宋体" w:cs="Times New Roman"/>
          <w:kern w:val="0"/>
          <w:sz w:val="36"/>
          <w:szCs w:val="36"/>
        </w:rPr>
      </w:pPr>
      <w:r>
        <w:rPr>
          <w:rFonts w:hint="default" w:ascii="Times New Roman" w:hAnsi="Times New Roman" w:eastAsia="宋体" w:cs="Times New Roman"/>
          <w:kern w:val="0"/>
          <w:sz w:val="36"/>
          <w:szCs w:val="36"/>
        </w:rPr>
        <w:t>中华人民共和国生态环境部制</w:t>
      </w:r>
    </w:p>
    <w:p>
      <w:pPr>
        <w:pStyle w:val="2"/>
        <w:ind w:firstLine="720"/>
        <w:rPr>
          <w:rFonts w:hint="default" w:ascii="Times New Roman" w:hAnsi="Times New Roman" w:eastAsia="宋体" w:cs="Times New Roman"/>
          <w:kern w:val="0"/>
          <w:sz w:val="36"/>
          <w:szCs w:val="36"/>
        </w:rPr>
      </w:pPr>
    </w:p>
    <w:p>
      <w:pPr>
        <w:adjustRightInd w:val="0"/>
        <w:snapToGrid w:val="0"/>
        <w:spacing w:line="288" w:lineRule="auto"/>
        <w:ind w:firstLine="1040"/>
        <w:rPr>
          <w:rFonts w:hint="default" w:ascii="Times New Roman" w:hAnsi="Times New Roman" w:eastAsia="宋体" w:cs="Times New Roman"/>
          <w:kern w:val="0"/>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7"/>
        <w:jc w:val="center"/>
        <w:outlineLvl w:val="0"/>
        <w:rPr>
          <w:rFonts w:hint="default" w:ascii="Times New Roman" w:hAnsi="Times New Roman" w:eastAsia="宋体" w:cs="Times New Roman"/>
          <w:b/>
          <w:bCs/>
          <w:snapToGrid w:val="0"/>
          <w:kern w:val="0"/>
          <w:sz w:val="30"/>
          <w:szCs w:val="30"/>
        </w:rPr>
      </w:pPr>
      <w:r>
        <w:rPr>
          <w:rFonts w:hint="default" w:ascii="Times New Roman" w:hAnsi="Times New Roman" w:eastAsia="宋体" w:cs="Times New Roman"/>
          <w:b/>
          <w:bCs/>
          <w:snapToGrid w:val="0"/>
          <w:kern w:val="0"/>
          <w:sz w:val="30"/>
          <w:szCs w:val="30"/>
        </w:rPr>
        <w:t>一、建设项目基本情况</w:t>
      </w:r>
    </w:p>
    <w:tbl>
      <w:tblPr>
        <w:tblStyle w:val="18"/>
        <w:tblW w:w="89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2"/>
        <w:gridCol w:w="606"/>
        <w:gridCol w:w="1149"/>
        <w:gridCol w:w="1672"/>
        <w:gridCol w:w="1993"/>
        <w:gridCol w:w="3466"/>
        <w:gridCol w:w="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497"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建设项目名称</w:t>
            </w:r>
          </w:p>
        </w:tc>
        <w:tc>
          <w:tcPr>
            <w:tcW w:w="6488" w:type="dxa"/>
            <w:gridSpan w:val="4"/>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bCs/>
                <w:kern w:val="0"/>
                <w:sz w:val="24"/>
              </w:rPr>
              <w:t>淄博圣彩玻璃制品有限公司建设年产80万只玻璃杯技术改造项目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497"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项目代码</w:t>
            </w:r>
          </w:p>
        </w:tc>
        <w:tc>
          <w:tcPr>
            <w:tcW w:w="6488" w:type="dxa"/>
            <w:gridSpan w:val="4"/>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bCs/>
                <w:kern w:val="0"/>
                <w:sz w:val="24"/>
              </w:rPr>
              <w:t>2108-370392-89-02-388035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497"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建设单位联系人</w:t>
            </w:r>
          </w:p>
        </w:tc>
        <w:tc>
          <w:tcPr>
            <w:tcW w:w="1637" w:type="dxa"/>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谭文明</w:t>
            </w:r>
          </w:p>
        </w:tc>
        <w:tc>
          <w:tcPr>
            <w:tcW w:w="1950" w:type="dxa"/>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联系方式</w:t>
            </w:r>
          </w:p>
        </w:tc>
        <w:tc>
          <w:tcPr>
            <w:tcW w:w="2901" w:type="dxa"/>
            <w:gridSpan w:val="2"/>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18753386857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497"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建设地点</w:t>
            </w:r>
          </w:p>
        </w:tc>
        <w:tc>
          <w:tcPr>
            <w:tcW w:w="6488" w:type="dxa"/>
            <w:gridSpan w:val="4"/>
            <w:vAlign w:val="center"/>
          </w:tcPr>
          <w:p>
            <w:pPr>
              <w:adjustRightInd w:val="0"/>
              <w:snapToGrid w:val="0"/>
              <w:jc w:val="center"/>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山东省淄博市文昌湖区萌水镇萌二村委南100米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497"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地理坐标</w:t>
            </w:r>
          </w:p>
        </w:tc>
        <w:tc>
          <w:tcPr>
            <w:tcW w:w="6488" w:type="dxa"/>
            <w:gridSpan w:val="4"/>
            <w:vAlign w:val="center"/>
          </w:tcPr>
          <w:p>
            <w:pPr>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东经117°54′55.919″，北纬36°43′27.059″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561"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国民经济</w:t>
            </w:r>
          </w:p>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行业类别</w:t>
            </w:r>
          </w:p>
        </w:tc>
        <w:tc>
          <w:tcPr>
            <w:tcW w:w="1637" w:type="dxa"/>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kern w:val="0"/>
                <w:sz w:val="24"/>
              </w:rPr>
              <w:t>C3054日用玻璃制品制造</w:t>
            </w:r>
          </w:p>
        </w:tc>
        <w:tc>
          <w:tcPr>
            <w:tcW w:w="1950" w:type="dxa"/>
            <w:vAlign w:val="center"/>
          </w:tcPr>
          <w:p>
            <w:pPr>
              <w:adjustRightInd w:val="0"/>
              <w:snapToGrid w:val="0"/>
              <w:jc w:val="center"/>
              <w:rPr>
                <w:rFonts w:hint="default" w:ascii="Times New Roman" w:hAnsi="Times New Roman" w:eastAsia="宋体" w:cs="Times New Roman"/>
                <w:bCs/>
                <w:kern w:val="0"/>
                <w:sz w:val="24"/>
              </w:rPr>
            </w:pPr>
            <w:bookmarkStart w:id="1" w:name="_Hlk49843745"/>
            <w:r>
              <w:rPr>
                <w:rFonts w:hint="default" w:ascii="Times New Roman" w:hAnsi="Times New Roman" w:eastAsia="宋体" w:cs="Times New Roman"/>
                <w:bCs/>
                <w:kern w:val="0"/>
                <w:sz w:val="24"/>
              </w:rPr>
              <w:t>建设项目</w:t>
            </w:r>
          </w:p>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行业类别</w:t>
            </w:r>
            <w:bookmarkEnd w:id="1"/>
          </w:p>
        </w:tc>
        <w:tc>
          <w:tcPr>
            <w:tcW w:w="2901" w:type="dxa"/>
            <w:gridSpan w:val="2"/>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二十七、非金属矿物制品业 </w:t>
            </w:r>
          </w:p>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kern w:val="0"/>
                <w:sz w:val="24"/>
              </w:rPr>
              <w:t>30 玻璃制品制造305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1219"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建设性质</w:t>
            </w:r>
          </w:p>
        </w:tc>
        <w:tc>
          <w:tcPr>
            <w:tcW w:w="1637" w:type="dxa"/>
            <w:vAlign w:val="center"/>
          </w:tcPr>
          <w:p>
            <w:pPr>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sym w:font="Wingdings 2" w:char="00A3"/>
            </w:r>
            <w:r>
              <w:rPr>
                <w:rFonts w:hint="default" w:ascii="Times New Roman" w:hAnsi="Times New Roman" w:eastAsia="宋体" w:cs="Times New Roman"/>
                <w:kern w:val="0"/>
                <w:sz w:val="24"/>
              </w:rPr>
              <w:t>新建（迁建）</w:t>
            </w:r>
          </w:p>
          <w:p>
            <w:pPr>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□改建</w:t>
            </w:r>
          </w:p>
          <w:p>
            <w:pPr>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□扩建</w:t>
            </w:r>
          </w:p>
          <w:p>
            <w:pPr>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sym w:font="Wingdings 2" w:char="0052"/>
            </w:r>
            <w:r>
              <w:rPr>
                <w:rFonts w:hint="default" w:ascii="Times New Roman" w:hAnsi="Times New Roman" w:eastAsia="宋体" w:cs="Times New Roman"/>
                <w:kern w:val="0"/>
                <w:sz w:val="24"/>
              </w:rPr>
              <w:t>技术改造</w:t>
            </w:r>
          </w:p>
        </w:tc>
        <w:tc>
          <w:tcPr>
            <w:tcW w:w="1950" w:type="dxa"/>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建设项目</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申报情形</w:t>
            </w:r>
          </w:p>
        </w:tc>
        <w:tc>
          <w:tcPr>
            <w:tcW w:w="2901" w:type="dxa"/>
            <w:gridSpan w:val="2"/>
            <w:vAlign w:val="center"/>
          </w:tcPr>
          <w:p>
            <w:pPr>
              <w:jc w:val="left"/>
              <w:rPr>
                <w:rFonts w:hint="default" w:ascii="Times New Roman" w:hAnsi="Times New Roman" w:eastAsia="宋体" w:cs="Times New Roman"/>
                <w:kern w:val="0"/>
                <w:sz w:val="24"/>
              </w:rPr>
            </w:pPr>
            <w:r>
              <w:rPr>
                <w:rFonts w:hint="eastAsia" w:cs="Times New Roman"/>
                <w:kern w:val="0"/>
                <w:sz w:val="24"/>
                <w:lang w:eastAsia="zh-CN"/>
              </w:rPr>
              <w:sym w:font="Wingdings 2" w:char="0052"/>
            </w:r>
            <w:r>
              <w:rPr>
                <w:rFonts w:hint="default" w:ascii="Times New Roman" w:hAnsi="Times New Roman" w:eastAsia="宋体" w:cs="Times New Roman"/>
                <w:kern w:val="0"/>
                <w:sz w:val="24"/>
              </w:rPr>
              <w:t xml:space="preserve">首次申报项目             </w:t>
            </w:r>
          </w:p>
          <w:p>
            <w:pPr>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□不予批准后再次申报项目</w:t>
            </w:r>
          </w:p>
          <w:p>
            <w:pPr>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 xml:space="preserve">□超五年重新审核项目     </w:t>
            </w:r>
          </w:p>
          <w:p>
            <w:pPr>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851"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项目审批（核准/</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备案）部门（选填）</w:t>
            </w:r>
          </w:p>
        </w:tc>
        <w:tc>
          <w:tcPr>
            <w:tcW w:w="1637" w:type="dxa"/>
            <w:vAlign w:val="center"/>
          </w:tcPr>
          <w:p>
            <w:pPr>
              <w:adjustRightInd w:val="0"/>
              <w:snapToGrid w:val="0"/>
              <w:jc w:val="center"/>
              <w:rPr>
                <w:rFonts w:hint="default" w:ascii="Times New Roman" w:hAnsi="Times New Roman" w:eastAsia="宋体" w:cs="Times New Roman"/>
                <w:color w:val="000000"/>
                <w:kern w:val="0"/>
                <w:sz w:val="24"/>
              </w:rPr>
            </w:pPr>
            <w:r>
              <w:rPr>
                <w:rFonts w:hint="default" w:ascii="Times New Roman" w:hAnsi="Times New Roman" w:eastAsia="宋体" w:cs="Times New Roman"/>
                <w:kern w:val="0"/>
                <w:sz w:val="24"/>
              </w:rPr>
              <w:t>淄博市文昌湖省级旅游度假区经济发展局</w:t>
            </w:r>
          </w:p>
        </w:tc>
        <w:tc>
          <w:tcPr>
            <w:tcW w:w="1950" w:type="dxa"/>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项目审批（核准/</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备案）文号（选填）</w:t>
            </w:r>
          </w:p>
        </w:tc>
        <w:tc>
          <w:tcPr>
            <w:tcW w:w="2901" w:type="dxa"/>
            <w:gridSpan w:val="2"/>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bCs/>
                <w:kern w:val="0"/>
                <w:sz w:val="24"/>
              </w:rPr>
              <w:t>2108-370392-89-02-388035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497"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总投资（万元）</w:t>
            </w:r>
          </w:p>
        </w:tc>
        <w:tc>
          <w:tcPr>
            <w:tcW w:w="1637" w:type="dxa"/>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65</w:t>
            </w:r>
          </w:p>
        </w:tc>
        <w:tc>
          <w:tcPr>
            <w:tcW w:w="1950" w:type="dxa"/>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环保投资（万元）</w:t>
            </w:r>
          </w:p>
        </w:tc>
        <w:tc>
          <w:tcPr>
            <w:tcW w:w="2901" w:type="dxa"/>
            <w:gridSpan w:val="2"/>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497"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环保投资占比（%）</w:t>
            </w:r>
          </w:p>
        </w:tc>
        <w:tc>
          <w:tcPr>
            <w:tcW w:w="1637" w:type="dxa"/>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9.2</w:t>
            </w:r>
          </w:p>
        </w:tc>
        <w:tc>
          <w:tcPr>
            <w:tcW w:w="1950" w:type="dxa"/>
            <w:tcMar>
              <w:top w:w="16" w:type="dxa"/>
              <w:left w:w="16" w:type="dxa"/>
              <w:right w:w="16" w:type="dxa"/>
            </w:tcMar>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施工工期</w:t>
            </w:r>
          </w:p>
        </w:tc>
        <w:tc>
          <w:tcPr>
            <w:tcW w:w="2901" w:type="dxa"/>
            <w:gridSpan w:val="2"/>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7" w:type="dxa"/>
          <w:trHeight w:val="497" w:hRule="atLeast"/>
          <w:jc w:val="center"/>
        </w:trPr>
        <w:tc>
          <w:tcPr>
            <w:tcW w:w="2382"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是否开工建设</w:t>
            </w:r>
          </w:p>
        </w:tc>
        <w:tc>
          <w:tcPr>
            <w:tcW w:w="1637" w:type="dxa"/>
            <w:vAlign w:val="center"/>
          </w:tcPr>
          <w:p>
            <w:pPr>
              <w:adjustRightInd w:val="0"/>
              <w:snapToGrid w:val="0"/>
              <w:rPr>
                <w:rFonts w:hint="default" w:ascii="Times New Roman" w:hAnsi="Times New Roman" w:eastAsia="宋体" w:cs="Times New Roman"/>
                <w:kern w:val="0"/>
                <w:sz w:val="24"/>
              </w:rPr>
            </w:pPr>
            <w:r>
              <w:rPr>
                <w:rFonts w:hint="default" w:ascii="Times New Roman" w:hAnsi="Times New Roman" w:eastAsia="宋体" w:cs="Times New Roman"/>
                <w:kern w:val="0"/>
                <w:sz w:val="24"/>
              </w:rPr>
              <w:t>☑否</w:t>
            </w:r>
          </w:p>
          <w:p>
            <w:pPr>
              <w:adjustRightInd w:val="0"/>
              <w:snapToGrid w:val="0"/>
              <w:rPr>
                <w:rFonts w:hint="default" w:ascii="Times New Roman" w:hAnsi="Times New Roman" w:eastAsia="宋体" w:cs="Times New Roman"/>
                <w:kern w:val="0"/>
                <w:sz w:val="24"/>
              </w:rPr>
            </w:pPr>
            <w:r>
              <w:rPr>
                <w:rFonts w:hint="default" w:ascii="Times New Roman" w:hAnsi="Times New Roman" w:eastAsia="宋体" w:cs="Times New Roman"/>
                <w:kern w:val="0"/>
                <w:sz w:val="24"/>
              </w:rPr>
              <w:t>□是：</w:t>
            </w:r>
            <w:r>
              <w:rPr>
                <w:rFonts w:hint="default" w:ascii="Times New Roman" w:hAnsi="Times New Roman" w:eastAsia="宋体" w:cs="Times New Roman"/>
                <w:kern w:val="0"/>
                <w:sz w:val="24"/>
                <w:u w:val="single"/>
              </w:rPr>
              <w:t xml:space="preserve">             </w:t>
            </w:r>
          </w:p>
        </w:tc>
        <w:tc>
          <w:tcPr>
            <w:tcW w:w="1950" w:type="dxa"/>
            <w:tcMar>
              <w:top w:w="16" w:type="dxa"/>
              <w:left w:w="16" w:type="dxa"/>
              <w:right w:w="16"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用地（用海）</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面积（m</w:t>
            </w:r>
            <w:r>
              <w:rPr>
                <w:rFonts w:hint="default" w:ascii="Times New Roman" w:hAnsi="Times New Roman" w:eastAsia="宋体" w:cs="Times New Roman"/>
                <w:kern w:val="0"/>
                <w:sz w:val="24"/>
                <w:vertAlign w:val="superscript"/>
              </w:rPr>
              <w:t>2</w:t>
            </w:r>
            <w:r>
              <w:rPr>
                <w:rFonts w:hint="default" w:ascii="Times New Roman" w:hAnsi="Times New Roman" w:eastAsia="宋体" w:cs="Times New Roman"/>
                <w:kern w:val="0"/>
                <w:sz w:val="24"/>
              </w:rPr>
              <w:t>）</w:t>
            </w:r>
          </w:p>
        </w:tc>
        <w:tc>
          <w:tcPr>
            <w:tcW w:w="2901" w:type="dxa"/>
            <w:gridSpan w:val="2"/>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7" w:type="dxa"/>
          <w:trHeight w:val="90" w:hRule="atLeast"/>
          <w:jc w:val="center"/>
        </w:trPr>
        <w:tc>
          <w:tcPr>
            <w:tcW w:w="2382" w:type="dxa"/>
            <w:gridSpan w:val="2"/>
            <w:vAlign w:val="center"/>
          </w:tcPr>
          <w:p>
            <w:pPr>
              <w:autoSpaceDE w:val="0"/>
              <w:autoSpaceDN w:val="0"/>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专项评价</w:t>
            </w:r>
          </w:p>
          <w:p>
            <w:pPr>
              <w:autoSpaceDE w:val="0"/>
              <w:autoSpaceDN w:val="0"/>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设置情况</w:t>
            </w:r>
          </w:p>
        </w:tc>
        <w:tc>
          <w:tcPr>
            <w:tcW w:w="6488" w:type="dxa"/>
            <w:gridSpan w:val="4"/>
            <w:vAlign w:val="center"/>
          </w:tcPr>
          <w:p>
            <w:pPr>
              <w:autoSpaceDE w:val="0"/>
              <w:autoSpaceDN w:val="0"/>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7" w:type="dxa"/>
          <w:trHeight w:val="1021" w:hRule="atLeast"/>
          <w:jc w:val="center"/>
        </w:trPr>
        <w:tc>
          <w:tcPr>
            <w:tcW w:w="2382" w:type="dxa"/>
            <w:gridSpan w:val="2"/>
            <w:vAlign w:val="center"/>
          </w:tcPr>
          <w:p>
            <w:pPr>
              <w:autoSpaceDE w:val="0"/>
              <w:autoSpaceDN w:val="0"/>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规划情况</w:t>
            </w:r>
          </w:p>
        </w:tc>
        <w:tc>
          <w:tcPr>
            <w:tcW w:w="6488" w:type="dxa"/>
            <w:gridSpan w:val="4"/>
            <w:vAlign w:val="center"/>
          </w:tcPr>
          <w:p>
            <w:pPr>
              <w:autoSpaceDE w:val="0"/>
              <w:autoSpaceDN w:val="0"/>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color w:val="auto"/>
                <w:kern w:val="0"/>
                <w:sz w:val="24"/>
                <w:szCs w:val="24"/>
                <w:lang w:val="en-US" w:eastAsia="zh-CN" w:bidi="ar-SA"/>
              </w:rPr>
              <w:t>淄博文昌湖省级旅游度假区管理委员会关于规划萌水镇、商家镇工业集聚区的意见（淄文昌管发</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2021</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12号）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7" w:type="dxa"/>
          <w:trHeight w:val="305" w:hRule="atLeast"/>
          <w:jc w:val="center"/>
        </w:trPr>
        <w:tc>
          <w:tcPr>
            <w:tcW w:w="2382" w:type="dxa"/>
            <w:gridSpan w:val="2"/>
            <w:vAlign w:val="center"/>
          </w:tcPr>
          <w:p>
            <w:pPr>
              <w:autoSpaceDE w:val="0"/>
              <w:autoSpaceDN w:val="0"/>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规划环境影响</w:t>
            </w:r>
          </w:p>
          <w:p>
            <w:pPr>
              <w:autoSpaceDE w:val="0"/>
              <w:autoSpaceDN w:val="0"/>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评价情况</w:t>
            </w:r>
          </w:p>
        </w:tc>
        <w:tc>
          <w:tcPr>
            <w:tcW w:w="6488" w:type="dxa"/>
            <w:gridSpan w:val="4"/>
            <w:vAlign w:val="center"/>
          </w:tcPr>
          <w:p>
            <w:pPr>
              <w:autoSpaceDE w:val="0"/>
              <w:autoSpaceDN w:val="0"/>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7" w:type="dxa"/>
          <w:trHeight w:val="1021" w:hRule="atLeast"/>
          <w:jc w:val="center"/>
        </w:trPr>
        <w:tc>
          <w:tcPr>
            <w:tcW w:w="2382" w:type="dxa"/>
            <w:gridSpan w:val="2"/>
            <w:vAlign w:val="center"/>
          </w:tcPr>
          <w:p>
            <w:pPr>
              <w:autoSpaceDE w:val="0"/>
              <w:autoSpaceDN w:val="0"/>
              <w:adjustRightInd w:val="0"/>
              <w:snapToGrid w:val="0"/>
              <w:spacing w:line="360" w:lineRule="auto"/>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规划及规划环境影响评价符合性分析</w:t>
            </w:r>
          </w:p>
        </w:tc>
        <w:tc>
          <w:tcPr>
            <w:tcW w:w="6488"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技改</w:t>
            </w:r>
            <w:r>
              <w:rPr>
                <w:rFonts w:hint="default" w:ascii="Times New Roman" w:hAnsi="Times New Roman" w:eastAsia="宋体" w:cs="Times New Roman"/>
                <w:color w:val="auto"/>
                <w:kern w:val="0"/>
                <w:sz w:val="24"/>
                <w:szCs w:val="24"/>
                <w:lang w:val="en-US" w:eastAsia="zh-CN" w:bidi="ar-SA"/>
              </w:rPr>
              <w:t>项目与淄博文昌湖省级旅游度假区管理委员会关于规划萌水镇、商家镇工业集聚区的意见（淄文昌管发</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2021</w:t>
            </w:r>
            <w:r>
              <w:rPr>
                <w:rFonts w:hint="eastAsia"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12号）符合性分析：</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淄博文昌湖省级旅游度假区管理委员会出具关于规划萌水镇、商家镇工业集聚区的意见：为推动经济高质量发展和生态环境高水平保护，按照省生态环境厅、省发展和改革委员会、省工业和信息化厅、省自然资源厅联合下发的《关于严格项目审批工作坚决防止新上“散乱污”项目的通知》(鲁环字</w:t>
            </w:r>
            <w:r>
              <w:rPr>
                <w:rFonts w:hint="eastAsia" w:asci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2021</w:t>
            </w:r>
            <w:r>
              <w:rPr>
                <w:rFonts w:hint="eastAsia" w:asci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58号</w:t>
            </w:r>
            <w:r>
              <w:rPr>
                <w:rFonts w:hint="eastAsia" w:asci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要求，新建有污染物排放的工业项目，除在安全生产等方面有特殊要求的以外，应当进入工业园区或工业集聚区。经区管委会研究，确定在萌水镇和商家镇划定工业集聚区范围，按照产业定位和有关要求，规范审批工业项目，推动经济发展。</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一、萌水镇工业集聚区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1.萌水镇新材料产业片区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位于庆淄路两侧、文昌大道以北、杨萌路以南、张博附线以西，总占地约1300余亩。主导产业</w:t>
            </w:r>
            <w:r>
              <w:rPr>
                <w:rFonts w:hint="eastAsia" w:asci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金属磨料、非金属磨料、</w:t>
            </w:r>
            <w:r>
              <w:rPr>
                <w:rFonts w:hint="eastAsia" w:ascii="Times New Roman" w:cs="Times New Roman"/>
                <w:color w:val="auto"/>
                <w:kern w:val="0"/>
                <w:sz w:val="24"/>
                <w:szCs w:val="24"/>
                <w:lang w:val="en-US" w:eastAsia="zh-CN" w:bidi="ar-SA"/>
              </w:rPr>
              <w:t>其他</w:t>
            </w:r>
            <w:r>
              <w:rPr>
                <w:rFonts w:hint="default" w:ascii="Times New Roman" w:hAnsi="Times New Roman" w:eastAsia="宋体" w:cs="Times New Roman"/>
                <w:color w:val="auto"/>
                <w:kern w:val="0"/>
                <w:sz w:val="24"/>
                <w:szCs w:val="24"/>
                <w:lang w:val="en-US" w:eastAsia="zh-CN" w:bidi="ar-SA"/>
              </w:rPr>
              <w:t>新材料等，形成新材料产业集群。</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2.萌水镇智能制造产业片区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位于张博附线以东及原三衣工业园，总占地约1500余亩。主导产业</w:t>
            </w:r>
            <w:r>
              <w:rPr>
                <w:rFonts w:hint="eastAsia" w:asci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装备制造、新能源汽车配套装备等，形成智能制造产业集群。</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3.萌水镇仓储物流产业片区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位于文昌湖高速路下路口两侧及对面</w:t>
            </w:r>
            <w:r>
              <w:rPr>
                <w:rFonts w:hint="eastAsia" w:asci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总占地约360余亩。主导产业</w:t>
            </w:r>
            <w:r>
              <w:rPr>
                <w:rFonts w:hint="eastAsia" w:asci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冷链物流、仓储运输、集散配送等，形成物流仓储产业集群。</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4.三衣西片(龙口龙泉北安扈家</w:t>
            </w:r>
            <w:r>
              <w:rPr>
                <w:rFonts w:hint="eastAsia" w:asci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产业片区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包含龙口、龙泉、北安村内产业片区，占地约1157亩，企业77家，园区内分布有磨料、玻璃制品、机械、针织等行业为主。</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5.萌水镇中心工业片区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包括镇政府驻地、官三村、水磨工业园内原三元公司、三利绸缎印染、现丰雁电子元件、淄博瑞泽非制造布有限公司等企业及湿地公园、污水处理厂、嘉丰公司等，规划约800余亩，主要有电子元件和玻璃机械等行业。</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6.萌水镇西工业片区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包括萌水镇城乡统筹服务中心、北王工业园及正阳路以西、S102两侧的部分企业，总占地面积约300亩，主要以医疗器械、机械制造、纺织、家具制造为主。</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二、商家镇工业集聚区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1.山东松柳智能制造产业片区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东起杨家村中心大街，西至冶西村，北至胶王路，南至冲山。规划占地面积约600亩，以承接高端装备制造、工业机器人、高端电子靶材等为主。</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2.齐鲁智能制造产业片区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位于商家镇西部，东起山东宜景生态科技有限公司，西至镇边界，北至商中路，南至冲山。规划总用地40.96公顷，园区以胶王路为界划分为南、北两个区域，以汽车配件、五金机械配件、新材料等产业为主。</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3.冶头工业片区</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bidi="ar-SA"/>
              </w:rPr>
              <w:t>东起正阳西路，西至七河村村西端，南至胶王路、齐鲁智能制造产业园，北至七河村村北端，总占地面积约800亩，</w:t>
            </w:r>
            <w:r>
              <w:rPr>
                <w:rFonts w:hint="default" w:ascii="Times New Roman" w:hAnsi="Times New Roman" w:eastAsia="宋体" w:cs="Times New Roman"/>
                <w:color w:val="auto"/>
                <w:kern w:val="0"/>
                <w:sz w:val="24"/>
                <w:szCs w:val="24"/>
                <w:highlight w:val="none"/>
                <w:lang w:val="en-US" w:eastAsia="zh-CN" w:bidi="ar-SA"/>
              </w:rPr>
              <w:t>以机械制造、五金加工、服装加工、建材、木器加工、新材料等产业为主。</w:t>
            </w:r>
          </w:p>
          <w:p>
            <w:pPr>
              <w:pStyle w:val="24"/>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000000"/>
                <w:kern w:val="0"/>
                <w:szCs w:val="21"/>
              </w:rPr>
            </w:pPr>
            <w:r>
              <w:rPr>
                <w:rFonts w:hint="eastAsia" w:ascii="Times New Roman" w:hAnsi="Times New Roman" w:eastAsia="宋体" w:cs="Times New Roman"/>
                <w:color w:val="auto"/>
                <w:kern w:val="0"/>
                <w:sz w:val="24"/>
                <w:szCs w:val="24"/>
                <w:highlight w:val="none"/>
                <w:lang w:val="en-US" w:eastAsia="zh-CN" w:bidi="ar-SA"/>
              </w:rPr>
              <w:t>技改</w:t>
            </w:r>
            <w:r>
              <w:rPr>
                <w:rFonts w:hint="default" w:ascii="Times New Roman" w:hAnsi="Times New Roman" w:eastAsia="宋体" w:cs="Times New Roman"/>
                <w:color w:val="auto"/>
                <w:kern w:val="0"/>
                <w:sz w:val="24"/>
                <w:szCs w:val="24"/>
                <w:highlight w:val="none"/>
                <w:lang w:val="en-US" w:eastAsia="zh-CN" w:bidi="ar-SA"/>
              </w:rPr>
              <w:t>项目为</w:t>
            </w:r>
            <w:r>
              <w:rPr>
                <w:rFonts w:hint="default" w:ascii="Times New Roman" w:hAnsi="Times New Roman" w:eastAsia="宋体" w:cs="Times New Roman"/>
                <w:color w:val="auto"/>
                <w:kern w:val="0"/>
                <w:sz w:val="24"/>
                <w:szCs w:val="24"/>
                <w:highlight w:val="none"/>
                <w:lang w:val="en-US" w:eastAsia="zh-CN"/>
              </w:rPr>
              <w:t>玻璃制品</w:t>
            </w:r>
            <w:r>
              <w:rPr>
                <w:rFonts w:hint="eastAsia" w:ascii="Times New Roman" w:hAnsi="Times New Roman" w:eastAsia="宋体" w:cs="Times New Roman"/>
                <w:color w:val="auto"/>
                <w:kern w:val="0"/>
                <w:sz w:val="24"/>
                <w:szCs w:val="24"/>
                <w:highlight w:val="none"/>
                <w:lang w:val="en-US" w:eastAsia="zh-CN"/>
              </w:rPr>
              <w:t>制造项目</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SA"/>
              </w:rPr>
              <w:t>位于</w:t>
            </w:r>
            <w:r>
              <w:rPr>
                <w:rFonts w:hint="default" w:ascii="Times New Roman" w:hAnsi="Times New Roman" w:eastAsia="宋体" w:cs="Times New Roman"/>
                <w:color w:val="auto"/>
                <w:kern w:val="0"/>
                <w:sz w:val="24"/>
                <w:szCs w:val="24"/>
                <w:lang w:val="en-US" w:eastAsia="zh-CN" w:bidi="ar-SA"/>
              </w:rPr>
              <w:t>萌水镇中心工业片区，属于</w:t>
            </w:r>
            <w:r>
              <w:rPr>
                <w:rFonts w:hint="default" w:ascii="Times New Roman" w:hAnsi="Times New Roman" w:eastAsia="宋体" w:cs="Times New Roman"/>
                <w:color w:val="auto"/>
                <w:kern w:val="0"/>
                <w:sz w:val="24"/>
                <w:szCs w:val="24"/>
                <w:highlight w:val="none"/>
                <w:lang w:val="en-US" w:eastAsia="zh-CN" w:bidi="ar-SA"/>
              </w:rPr>
              <w:t>萌水镇工业聚集区，符合国土空间规划和产业发展规划要求。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8" w:type="dxa"/>
          <w:trHeight w:val="13144" w:hRule="atLeast"/>
          <w:jc w:val="center"/>
        </w:trPr>
        <w:tc>
          <w:tcPr>
            <w:tcW w:w="1112" w:type="dxa"/>
            <w:gridSpan w:val="2"/>
            <w:vAlign w:val="center"/>
          </w:tcPr>
          <w:p>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其他符合性分析</w:t>
            </w:r>
          </w:p>
        </w:tc>
        <w:tc>
          <w:tcPr>
            <w:tcW w:w="7787" w:type="dxa"/>
            <w:gridSpan w:val="4"/>
            <w:vAlign w:val="center"/>
          </w:tcPr>
          <w:p>
            <w:pPr>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1．产业政策符合性分析</w:t>
            </w:r>
          </w:p>
          <w:p>
            <w:pPr>
              <w:adjustRightInd w:val="0"/>
              <w:snapToGrid w:val="0"/>
              <w:spacing w:line="360" w:lineRule="auto"/>
              <w:ind w:firstLine="480" w:firstLineChars="200"/>
              <w:contextualSpacing/>
              <w:jc w:val="left"/>
              <w:rPr>
                <w:rFonts w:hint="default" w:ascii="Times New Roman" w:hAnsi="Times New Roman" w:eastAsia="宋体" w:cs="Times New Roman"/>
                <w:kern w:val="0"/>
                <w:sz w:val="24"/>
                <w:szCs w:val="32"/>
              </w:rPr>
            </w:pPr>
            <w:bookmarkStart w:id="2" w:name="OLE_LINK219"/>
            <w:bookmarkStart w:id="3" w:name="OLE_LINK9"/>
            <w:r>
              <w:rPr>
                <w:rFonts w:hint="eastAsia" w:ascii="Times New Roman" w:hAnsi="Times New Roman" w:eastAsia="宋体" w:cs="Times New Roman"/>
                <w:kern w:val="0"/>
                <w:sz w:val="24"/>
                <w:szCs w:val="32"/>
                <w:lang w:eastAsia="zh-CN"/>
              </w:rPr>
              <w:t>技改</w:t>
            </w:r>
            <w:r>
              <w:rPr>
                <w:rFonts w:hint="default" w:ascii="Times New Roman" w:hAnsi="Times New Roman" w:eastAsia="宋体" w:cs="Times New Roman"/>
                <w:kern w:val="0"/>
                <w:sz w:val="24"/>
                <w:szCs w:val="32"/>
              </w:rPr>
              <w:t>项目为玻璃制品制造项目，不属于《产业结构调整指导目录（2019年本）》鼓励类、限制类、淘汰类项目，故属于允许类项目，因此，符合国家产业政策。</w:t>
            </w:r>
          </w:p>
          <w:p>
            <w:pPr>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eastAsia" w:ascii="Times New Roman" w:hAnsi="Times New Roman" w:eastAsia="宋体" w:cs="Times New Roman"/>
                <w:kern w:val="0"/>
                <w:sz w:val="24"/>
                <w:szCs w:val="32"/>
                <w:lang w:eastAsia="zh-CN"/>
              </w:rPr>
              <w:t>技改</w:t>
            </w:r>
            <w:r>
              <w:rPr>
                <w:rFonts w:hint="default" w:ascii="Times New Roman" w:hAnsi="Times New Roman" w:eastAsia="宋体" w:cs="Times New Roman"/>
                <w:kern w:val="0"/>
                <w:sz w:val="24"/>
                <w:szCs w:val="32"/>
              </w:rPr>
              <w:t>项目所用设备、生产工艺不属于淄博市《全市重点淘汰的落后工艺技术、装备及产品目录》中落后的工艺技术、装备及产品项目，不属于淄博市人民政府办公厅发布的《关于印发淄博市产业结构调整指导意见和指导目录的通知》（淄政办发〔2011〕35号）中鼓励类、限制类和淘汰类之列，故该项目属允许类项目，符合淄博市的产业政策。</w:t>
            </w:r>
          </w:p>
          <w:p>
            <w:pPr>
              <w:tabs>
                <w:tab w:val="left" w:pos="5427"/>
              </w:tabs>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2.土地利用总体规划符合性分析</w:t>
            </w:r>
          </w:p>
          <w:bookmarkEnd w:id="2"/>
          <w:bookmarkEnd w:id="3"/>
          <w:p>
            <w:pPr>
              <w:adjustRightInd w:val="0"/>
              <w:snapToGrid w:val="0"/>
              <w:spacing w:line="360" w:lineRule="auto"/>
              <w:ind w:firstLine="480" w:firstLineChars="200"/>
              <w:rPr>
                <w:rFonts w:hint="eastAsia" w:ascii="Times New Roman" w:hAnsi="Times New Roman" w:eastAsia="宋体" w:cs="Times New Roman"/>
                <w:kern w:val="0"/>
                <w:sz w:val="24"/>
                <w:szCs w:val="32"/>
                <w:lang w:eastAsia="zh-CN"/>
              </w:rPr>
            </w:pPr>
            <w:r>
              <w:rPr>
                <w:rFonts w:hint="eastAsia" w:ascii="Times New Roman" w:hAnsi="Times New Roman" w:eastAsia="宋体" w:cs="Times New Roman"/>
                <w:color w:val="auto"/>
                <w:kern w:val="0"/>
                <w:sz w:val="24"/>
                <w:szCs w:val="32"/>
                <w:lang w:eastAsia="zh-CN"/>
              </w:rPr>
              <w:t>技改项目</w:t>
            </w:r>
            <w:r>
              <w:rPr>
                <w:rFonts w:hint="default" w:ascii="Times New Roman" w:hAnsi="Times New Roman" w:eastAsia="宋体" w:cs="Times New Roman"/>
                <w:color w:val="auto"/>
                <w:kern w:val="0"/>
                <w:sz w:val="24"/>
                <w:szCs w:val="32"/>
              </w:rPr>
              <w:t>位于山东省淄博市文昌湖区萌水镇萌二村委南100米</w:t>
            </w:r>
            <w:r>
              <w:rPr>
                <w:rStyle w:val="22"/>
                <w:rFonts w:hint="default" w:ascii="Times New Roman" w:hAnsi="Times New Roman" w:eastAsia="宋体" w:cs="Times New Roman"/>
                <w:color w:val="auto"/>
                <w:kern w:val="0"/>
                <w:sz w:val="24"/>
                <w:szCs w:val="24"/>
                <w:lang w:eastAsia="zh-CN"/>
              </w:rPr>
              <w:t>，</w:t>
            </w:r>
            <w:r>
              <w:rPr>
                <w:rStyle w:val="22"/>
                <w:rFonts w:hint="default" w:ascii="Times New Roman" w:hAnsi="Times New Roman" w:eastAsia="宋体" w:cs="Times New Roman"/>
                <w:kern w:val="0"/>
                <w:sz w:val="24"/>
                <w:szCs w:val="24"/>
                <w:lang w:eastAsia="zh-CN"/>
              </w:rPr>
              <w:t>位于萌水镇中心工业片区，属于萌水镇工业聚集区。</w:t>
            </w:r>
            <w:r>
              <w:rPr>
                <w:rFonts w:hint="default" w:ascii="Times New Roman" w:hAnsi="Times New Roman" w:eastAsia="宋体" w:cs="Times New Roman"/>
                <w:kern w:val="0"/>
                <w:sz w:val="24"/>
                <w:szCs w:val="32"/>
              </w:rPr>
              <w:t>项目用地</w:t>
            </w:r>
            <w:r>
              <w:rPr>
                <w:rFonts w:hint="default" w:ascii="Times New Roman" w:hAnsi="Times New Roman" w:eastAsia="宋体" w:cs="Times New Roman"/>
                <w:kern w:val="0"/>
                <w:sz w:val="24"/>
                <w:szCs w:val="32"/>
                <w:lang w:eastAsia="zh-CN"/>
              </w:rPr>
              <w:t>属于建设用地，</w:t>
            </w:r>
            <w:r>
              <w:rPr>
                <w:rFonts w:hint="default" w:ascii="Times New Roman" w:hAnsi="Times New Roman" w:eastAsia="宋体" w:cs="Times New Roman"/>
                <w:kern w:val="0"/>
                <w:sz w:val="24"/>
                <w:szCs w:val="32"/>
              </w:rPr>
              <w:t>不属于国土资源部、国家发展和改革委员会关于发布实施《限制用地项目目录（2012年本）》和《禁止用地项目目录（2012年本）》的通知中的限制类和禁止类。选址不处于饮用水水源保护区及自然保护区、风景名胜区等环境敏感地区</w:t>
            </w:r>
            <w:r>
              <w:rPr>
                <w:rFonts w:hint="eastAsia" w:ascii="Times New Roman" w:hAnsi="Times New Roman" w:eastAsia="宋体" w:cs="Times New Roman"/>
                <w:kern w:val="0"/>
                <w:sz w:val="24"/>
                <w:szCs w:val="32"/>
                <w:lang w:eastAsia="zh-CN"/>
              </w:rPr>
              <w:t>。</w:t>
            </w:r>
          </w:p>
          <w:p>
            <w:pPr>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eastAsia" w:ascii="Times New Roman" w:hAnsi="Times New Roman" w:eastAsia="宋体" w:cs="Times New Roman"/>
                <w:kern w:val="0"/>
                <w:sz w:val="24"/>
                <w:szCs w:val="32"/>
                <w:lang w:eastAsia="zh-CN"/>
              </w:rPr>
              <w:t>依据《周村区土地利用总体规划》（</w:t>
            </w:r>
            <w:r>
              <w:rPr>
                <w:rFonts w:hint="eastAsia" w:ascii="Times New Roman" w:hAnsi="Times New Roman" w:eastAsia="宋体" w:cs="Times New Roman"/>
                <w:kern w:val="0"/>
                <w:sz w:val="24"/>
                <w:szCs w:val="32"/>
                <w:lang w:val="en-US" w:eastAsia="zh-CN"/>
              </w:rPr>
              <w:t>2006-2020</w:t>
            </w:r>
            <w:r>
              <w:rPr>
                <w:rFonts w:hint="eastAsia" w:ascii="Times New Roman" w:hAnsi="Times New Roman" w:eastAsia="宋体" w:cs="Times New Roman"/>
                <w:kern w:val="0"/>
                <w:sz w:val="24"/>
                <w:szCs w:val="32"/>
                <w:lang w:eastAsia="zh-CN"/>
              </w:rPr>
              <w:t>），技改项目位于山东省淄博市文昌湖区萌水镇萌二村委南</w:t>
            </w:r>
            <w:r>
              <w:rPr>
                <w:rFonts w:hint="eastAsia" w:ascii="Times New Roman" w:hAnsi="Times New Roman" w:eastAsia="宋体" w:cs="Times New Roman"/>
                <w:kern w:val="0"/>
                <w:sz w:val="24"/>
                <w:szCs w:val="32"/>
                <w:lang w:val="en-US" w:eastAsia="zh-CN"/>
              </w:rPr>
              <w:t>100米，属于允许建设区，符合周村区及国家的土地利用总体规划</w:t>
            </w:r>
            <w:r>
              <w:rPr>
                <w:rFonts w:hint="default" w:ascii="Times New Roman" w:hAnsi="Times New Roman" w:eastAsia="宋体" w:cs="Times New Roman"/>
                <w:kern w:val="0"/>
                <w:sz w:val="24"/>
                <w:szCs w:val="32"/>
              </w:rPr>
              <w:t>。</w:t>
            </w:r>
          </w:p>
          <w:p>
            <w:pPr>
              <w:tabs>
                <w:tab w:val="left" w:pos="5427"/>
              </w:tabs>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3.“三线一单”符合性分析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根据《淄博市“三线一单”生态环境分区管控方案》（淄政字〔2021〕49号），淄博市划定117个环境管控单元，分为优先保护单元、重点保护单元和一般管控单元三类。</w:t>
            </w:r>
            <w:r>
              <w:rPr>
                <w:rFonts w:hint="eastAsia" w:ascii="Times New Roman" w:hAnsi="Times New Roman" w:eastAsia="宋体" w:cs="Times New Roman"/>
                <w:kern w:val="0"/>
                <w:sz w:val="24"/>
                <w:szCs w:val="32"/>
                <w:lang w:eastAsia="zh-CN"/>
              </w:rPr>
              <w:t>技改项目</w:t>
            </w:r>
            <w:r>
              <w:rPr>
                <w:rFonts w:hint="default" w:ascii="Times New Roman" w:hAnsi="Times New Roman" w:eastAsia="宋体" w:cs="Times New Roman"/>
                <w:kern w:val="0"/>
                <w:sz w:val="24"/>
                <w:szCs w:val="32"/>
              </w:rPr>
              <w:t>位于淄博市文昌湖区萌水镇，为一般管控单元。</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4"/>
                <w:szCs w:val="32"/>
                <w:lang w:eastAsia="zh-CN"/>
              </w:rPr>
            </w:pPr>
            <w:r>
              <w:rPr>
                <w:rFonts w:hint="default" w:ascii="Times New Roman" w:hAnsi="Times New Roman" w:eastAsia="宋体" w:cs="Times New Roman"/>
                <w:b/>
                <w:bCs/>
                <w:kern w:val="0"/>
                <w:sz w:val="21"/>
                <w:szCs w:val="24"/>
                <w:lang w:eastAsia="zh-CN"/>
              </w:rPr>
              <w:t>表</w:t>
            </w:r>
            <w:r>
              <w:rPr>
                <w:rFonts w:hint="default" w:ascii="Times New Roman" w:hAnsi="Times New Roman" w:eastAsia="宋体" w:cs="Times New Roman"/>
                <w:b/>
                <w:bCs/>
                <w:kern w:val="0"/>
                <w:sz w:val="24"/>
                <w:szCs w:val="32"/>
                <w:lang w:val="en-US" w:eastAsia="zh-CN"/>
              </w:rPr>
              <w:t>1-1</w:t>
            </w:r>
            <w:r>
              <w:rPr>
                <w:rFonts w:hint="default" w:ascii="Times New Roman" w:hAnsi="Times New Roman" w:eastAsia="宋体" w:cs="Times New Roman"/>
                <w:b/>
                <w:bCs/>
                <w:kern w:val="0"/>
                <w:sz w:val="24"/>
                <w:szCs w:val="32"/>
                <w:lang w:eastAsia="zh-CN"/>
              </w:rPr>
              <w:t>与</w:t>
            </w:r>
            <w:r>
              <w:rPr>
                <w:rFonts w:hint="default" w:ascii="Times New Roman" w:hAnsi="Times New Roman" w:eastAsia="宋体" w:cs="Times New Roman"/>
                <w:b/>
                <w:bCs/>
                <w:kern w:val="0"/>
                <w:sz w:val="24"/>
                <w:szCs w:val="32"/>
              </w:rPr>
              <w:t>《淄博市“三线一单”生态环境分区管控方案》（淄政字〔2021〕49号）</w:t>
            </w:r>
            <w:r>
              <w:rPr>
                <w:rFonts w:hint="default" w:ascii="Times New Roman" w:hAnsi="Times New Roman" w:eastAsia="宋体" w:cs="Times New Roman"/>
                <w:b/>
                <w:bCs/>
                <w:kern w:val="0"/>
                <w:sz w:val="24"/>
                <w:szCs w:val="32"/>
                <w:lang w:eastAsia="zh-CN"/>
              </w:rPr>
              <w:t>符合性分析</w:t>
            </w:r>
          </w:p>
          <w:tbl>
            <w:tblPr>
              <w:tblStyle w:val="1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17"/>
              <w:gridCol w:w="3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22" w:type="dxa"/>
                  <w:tcBorders>
                    <w:tl2br w:val="nil"/>
                    <w:tr2bl w:val="nil"/>
                  </w:tcBorders>
                  <w:vAlign w:val="center"/>
                </w:tcPr>
                <w:p>
                  <w:pPr>
                    <w:pStyle w:val="24"/>
                    <w:jc w:val="center"/>
                    <w:rPr>
                      <w:rFonts w:hint="default" w:ascii="Times New Roman" w:hAnsi="Times New Roman" w:eastAsia="宋体" w:cs="Times New Roman"/>
                      <w:b/>
                      <w:bCs/>
                      <w:kern w:val="0"/>
                      <w:sz w:val="21"/>
                      <w:szCs w:val="21"/>
                      <w:vertAlign w:val="baseline"/>
                      <w:lang w:eastAsia="zh-CN"/>
                    </w:rPr>
                  </w:pPr>
                  <w:r>
                    <w:rPr>
                      <w:rFonts w:hint="default" w:ascii="Times New Roman" w:hAnsi="Times New Roman" w:eastAsia="宋体" w:cs="Times New Roman"/>
                      <w:b/>
                      <w:bCs/>
                      <w:kern w:val="0"/>
                      <w:sz w:val="21"/>
                      <w:szCs w:val="21"/>
                      <w:vertAlign w:val="baseline"/>
                      <w:lang w:eastAsia="zh-CN"/>
                    </w:rPr>
                    <w:t>文件要求</w:t>
                  </w:r>
                </w:p>
              </w:tc>
              <w:tc>
                <w:tcPr>
                  <w:tcW w:w="3119" w:type="dxa"/>
                  <w:tcBorders>
                    <w:tl2br w:val="nil"/>
                    <w:tr2bl w:val="nil"/>
                  </w:tcBorders>
                  <w:vAlign w:val="center"/>
                </w:tcPr>
                <w:p>
                  <w:pPr>
                    <w:pStyle w:val="24"/>
                    <w:jc w:val="center"/>
                    <w:rPr>
                      <w:rFonts w:hint="default" w:ascii="Times New Roman" w:hAnsi="Times New Roman" w:eastAsia="宋体" w:cs="Times New Roman"/>
                      <w:b/>
                      <w:bCs/>
                      <w:kern w:val="0"/>
                      <w:sz w:val="21"/>
                      <w:szCs w:val="21"/>
                      <w:vertAlign w:val="baseline"/>
                      <w:lang w:eastAsia="zh-CN"/>
                    </w:rPr>
                  </w:pPr>
                  <w:r>
                    <w:rPr>
                      <w:rFonts w:hint="default" w:ascii="Times New Roman" w:hAnsi="Times New Roman" w:eastAsia="宋体" w:cs="Times New Roman"/>
                      <w:b/>
                      <w:bCs/>
                      <w:kern w:val="0"/>
                      <w:sz w:val="21"/>
                      <w:szCs w:val="21"/>
                      <w:vertAlign w:val="baseline"/>
                      <w:lang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22" w:type="dxa"/>
                  <w:tcBorders>
                    <w:tl2br w:val="nil"/>
                    <w:tr2bl w:val="nil"/>
                  </w:tcBorders>
                  <w:vAlign w:val="center"/>
                </w:tcPr>
                <w:p>
                  <w:pPr>
                    <w:pStyle w:val="24"/>
                    <w:jc w:val="both"/>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按照生态环境法律法规和国家、省环境管理政策，结合区域发展战略和生态功能定位，全市共划定环境管控单元</w:t>
                  </w:r>
                  <w:r>
                    <w:rPr>
                      <w:rFonts w:hint="default" w:ascii="Times New Roman" w:hAnsi="Times New Roman" w:eastAsia="宋体" w:cs="Times New Roman"/>
                      <w:kern w:val="0"/>
                      <w:sz w:val="21"/>
                      <w:szCs w:val="21"/>
                      <w:vertAlign w:val="baseline"/>
                      <w:lang w:val="en-US" w:eastAsia="zh-CN"/>
                    </w:rPr>
                    <w:t>117</w:t>
                  </w:r>
                  <w:r>
                    <w:rPr>
                      <w:rFonts w:hint="default" w:ascii="Times New Roman" w:hAnsi="Times New Roman" w:eastAsia="宋体" w:cs="Times New Roman"/>
                      <w:kern w:val="0"/>
                      <w:sz w:val="21"/>
                      <w:szCs w:val="21"/>
                      <w:vertAlign w:val="baseline"/>
                      <w:lang w:eastAsia="zh-CN"/>
                    </w:rPr>
                    <w:t>个，分为优先保护单元、重点管控单元和一般管控单元三类。</w:t>
                  </w:r>
                </w:p>
              </w:tc>
              <w:tc>
                <w:tcPr>
                  <w:tcW w:w="3119" w:type="dxa"/>
                  <w:tcBorders>
                    <w:tl2br w:val="nil"/>
                    <w:tr2bl w:val="nil"/>
                  </w:tcBorders>
                  <w:vAlign w:val="center"/>
                </w:tcPr>
                <w:p>
                  <w:pPr>
                    <w:pStyle w:val="24"/>
                    <w:jc w:val="both"/>
                    <w:rPr>
                      <w:rFonts w:hint="default"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技改项目</w:t>
                  </w:r>
                  <w:r>
                    <w:rPr>
                      <w:rFonts w:hint="default" w:ascii="Times New Roman" w:hAnsi="Times New Roman" w:eastAsia="宋体" w:cs="Times New Roman"/>
                      <w:kern w:val="0"/>
                      <w:sz w:val="21"/>
                      <w:szCs w:val="21"/>
                      <w:vertAlign w:val="baseline"/>
                      <w:lang w:eastAsia="zh-CN"/>
                    </w:rPr>
                    <w:t>位于淄博市文昌湖区萌水镇，为一般管控单元。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22" w:type="dxa"/>
                  <w:tcBorders>
                    <w:tl2br w:val="nil"/>
                    <w:tr2bl w:val="nil"/>
                  </w:tcBorders>
                  <w:vAlign w:val="center"/>
                </w:tcPr>
                <w:p>
                  <w:pPr>
                    <w:pStyle w:val="24"/>
                    <w:jc w:val="both"/>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一般管控单元主要落实生态环境保护基本要求，合理控制开发强度，加强生活污染和农业面源污染治理，推动区域环境质量持续改善。</w:t>
                  </w:r>
                </w:p>
                <w:p>
                  <w:pPr>
                    <w:pStyle w:val="24"/>
                    <w:jc w:val="both"/>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引导产业科学合理布局，鼓励建设项目入园管理。工业项目应优先进入工业园区或聚集区布局，工业园区或聚集区外规划布局工业，相关部门应严格其手续审批。严格执行畜禽养殖禁养区规定，合理确定养殖规模。加强永久基本农田保护，依法依规做好耕地占补平衡。</w:t>
                  </w:r>
                </w:p>
              </w:tc>
              <w:tc>
                <w:tcPr>
                  <w:tcW w:w="3119" w:type="dxa"/>
                  <w:tcBorders>
                    <w:tl2br w:val="nil"/>
                    <w:tr2bl w:val="nil"/>
                  </w:tcBorders>
                  <w:vAlign w:val="center"/>
                </w:tcPr>
                <w:p>
                  <w:pPr>
                    <w:pStyle w:val="24"/>
                    <w:jc w:val="both"/>
                    <w:rPr>
                      <w:rFonts w:hint="default"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位于山东省淄博市文昌湖区萌水镇萌二村委南100米</w:t>
                  </w:r>
                  <w:r>
                    <w:rPr>
                      <w:rStyle w:val="22"/>
                      <w:rFonts w:hint="default" w:ascii="Times New Roman" w:hAnsi="Times New Roman" w:eastAsia="宋体" w:cs="Times New Roman"/>
                      <w:kern w:val="0"/>
                      <w:sz w:val="21"/>
                      <w:szCs w:val="21"/>
                      <w:lang w:eastAsia="zh-CN"/>
                    </w:rPr>
                    <w:t>，位于萌水镇中心工业片区，属于萌水镇工业聚集区。不属于畜禽养殖项目，不占用基本农田。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22" w:type="dxa"/>
                  <w:tcBorders>
                    <w:tl2br w:val="nil"/>
                    <w:tr2bl w:val="nil"/>
                  </w:tcBorders>
                  <w:vAlign w:val="center"/>
                </w:tcPr>
                <w:p>
                  <w:pPr>
                    <w:pStyle w:val="24"/>
                    <w:jc w:val="both"/>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落实污染物总量控制要求，严格执行国家及省相关排放标准，新建工业项目主要污染物排放水平达到国内同行业先进水平，对主要污染物排放指标实施总量等量或倍量置换。加快环保基础设施建设，推进城乡生活污染治理。加强农业面源污染治理，严格控制化肥农药等施用量，逐步削减农业面源污染。加强挥发性有机物治理，推广使用低挥发性有机涂料和溶剂。加强移动源、非道路移动源治理。严格落实扬尘污染防治各项措施。</w:t>
                  </w:r>
                </w:p>
              </w:tc>
              <w:tc>
                <w:tcPr>
                  <w:tcW w:w="3119" w:type="dxa"/>
                  <w:tcBorders>
                    <w:tl2br w:val="nil"/>
                    <w:tr2bl w:val="nil"/>
                  </w:tcBorders>
                  <w:vAlign w:val="center"/>
                </w:tcPr>
                <w:p>
                  <w:pPr>
                    <w:pStyle w:val="24"/>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eastAsia="zh-CN"/>
                    </w:rPr>
                    <w:t>项目严格执行本报告提出的控制污染的措施，严格执行国家及省相关排放标准。属于玻璃制品行业，不使用化肥农药。</w:t>
                  </w:r>
                  <w:r>
                    <w:rPr>
                      <w:rFonts w:hint="eastAsia" w:ascii="Times New Roman" w:cs="Times New Roman"/>
                      <w:kern w:val="0"/>
                      <w:sz w:val="21"/>
                      <w:szCs w:val="21"/>
                      <w:vertAlign w:val="baseline"/>
                      <w:lang w:eastAsia="zh-CN"/>
                    </w:rPr>
                    <w:t>项目取消贴烤花工序，不再产生</w:t>
                  </w:r>
                  <w:r>
                    <w:rPr>
                      <w:rFonts w:hint="eastAsia" w:ascii="Times New Roman" w:cs="Times New Roman"/>
                      <w:kern w:val="0"/>
                      <w:sz w:val="21"/>
                      <w:szCs w:val="21"/>
                      <w:vertAlign w:val="baseline"/>
                      <w:lang w:val="en-US" w:eastAsia="zh-CN"/>
                    </w:rPr>
                    <w:t>VOCs</w:t>
                  </w:r>
                  <w:r>
                    <w:rPr>
                      <w:rFonts w:hint="default" w:ascii="Times New Roman" w:hAnsi="Times New Roman" w:eastAsia="宋体" w:cs="Times New Roman"/>
                      <w:kern w:val="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22" w:type="dxa"/>
                  <w:tcBorders>
                    <w:tl2br w:val="nil"/>
                    <w:tr2bl w:val="nil"/>
                  </w:tcBorders>
                  <w:vAlign w:val="center"/>
                </w:tcPr>
                <w:p>
                  <w:pPr>
                    <w:pStyle w:val="24"/>
                    <w:jc w:val="both"/>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rPr>
                    <w:t>根据资源环境承载能力，合理控制开发强度。实行能源资源消耗总量和强度双控，提高能源资源利用效率。推进节水、节地、节能建设，提高综合利用效率。优化能源结构，加强清洁能源推广利用。风电、光伏等能源利用项目最大程度减少对生态环境影响</w:t>
                  </w:r>
                  <w:r>
                    <w:rPr>
                      <w:rFonts w:hint="default" w:ascii="Times New Roman" w:hAnsi="Times New Roman" w:eastAsia="宋体" w:cs="Times New Roman"/>
                      <w:kern w:val="0"/>
                      <w:sz w:val="21"/>
                      <w:szCs w:val="21"/>
                      <w:lang w:eastAsia="zh-CN"/>
                    </w:rPr>
                    <w:t>。</w:t>
                  </w:r>
                </w:p>
              </w:tc>
              <w:tc>
                <w:tcPr>
                  <w:tcW w:w="3119" w:type="dxa"/>
                  <w:tcBorders>
                    <w:tl2br w:val="nil"/>
                    <w:tr2bl w:val="nil"/>
                  </w:tcBorders>
                  <w:vAlign w:val="center"/>
                </w:tcPr>
                <w:p>
                  <w:pPr>
                    <w:pStyle w:val="24"/>
                    <w:jc w:val="both"/>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rPr>
                    <w:t>项目运营过程中消耗水资源</w:t>
                  </w:r>
                  <w:r>
                    <w:rPr>
                      <w:rFonts w:hint="eastAsia" w:ascii="Times New Roman" w:cs="Times New Roman"/>
                      <w:kern w:val="0"/>
                      <w:sz w:val="21"/>
                      <w:szCs w:val="21"/>
                      <w:lang w:eastAsia="zh-CN"/>
                    </w:rPr>
                    <w:t>197.52</w:t>
                  </w:r>
                  <w:r>
                    <w:rPr>
                      <w:rFonts w:hint="default" w:ascii="Times New Roman" w:hAnsi="Times New Roman" w:eastAsia="宋体" w:cs="Times New Roman"/>
                      <w:kern w:val="0"/>
                      <w:sz w:val="21"/>
                      <w:szCs w:val="21"/>
                    </w:rPr>
                    <w:t>t/a、电力10万kW·h/a</w:t>
                  </w:r>
                  <w:r>
                    <w:rPr>
                      <w:rFonts w:hint="default" w:ascii="Times New Roman" w:hAnsi="Times New Roman" w:eastAsia="宋体" w:cs="Times New Roman"/>
                      <w:kern w:val="0"/>
                      <w:sz w:val="21"/>
                      <w:szCs w:val="21"/>
                      <w:lang w:eastAsia="zh-CN"/>
                    </w:rPr>
                    <w:t>、液化石油气</w:t>
                  </w:r>
                  <w:r>
                    <w:rPr>
                      <w:rFonts w:hint="default" w:ascii="Times New Roman" w:hAnsi="Times New Roman" w:eastAsia="宋体" w:cs="Times New Roman"/>
                      <w:kern w:val="0"/>
                      <w:sz w:val="21"/>
                      <w:szCs w:val="21"/>
                      <w:lang w:val="en-US" w:eastAsia="zh-CN"/>
                    </w:rPr>
                    <w:t>30t/a</w:t>
                  </w:r>
                  <w:r>
                    <w:rPr>
                      <w:rFonts w:hint="default" w:ascii="Times New Roman" w:hAnsi="Times New Roman" w:eastAsia="宋体" w:cs="Times New Roman"/>
                      <w:kern w:val="0"/>
                      <w:sz w:val="21"/>
                      <w:szCs w:val="21"/>
                    </w:rPr>
                    <w:t>。资源消耗量相对区域资源利用总量较少</w:t>
                  </w:r>
                  <w:r>
                    <w:rPr>
                      <w:rFonts w:hint="default" w:ascii="Times New Roman" w:hAnsi="Times New Roman" w:eastAsia="宋体" w:cs="Times New Roman"/>
                      <w:kern w:val="0"/>
                      <w:sz w:val="21"/>
                      <w:szCs w:val="21"/>
                      <w:lang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lang w:val="en-US" w:eastAsia="zh-CN"/>
              </w:rPr>
              <w:t>1</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rPr>
              <w:t>生态保护红线</w:t>
            </w:r>
          </w:p>
          <w:p>
            <w:pPr>
              <w:pStyle w:val="2"/>
              <w:adjustRightInd w:val="0"/>
              <w:snapToGrid w:val="0"/>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根据《淄博市生态保护红线规划（2016-2020年）》中的名单，项目周边无自然保护区、饮用水源保护区等生态保护目标，</w:t>
            </w:r>
            <w:r>
              <w:rPr>
                <w:rFonts w:hint="eastAsia" w:ascii="Times New Roman" w:hAnsi="Times New Roman" w:eastAsia="宋体" w:cs="Times New Roman"/>
                <w:kern w:val="0"/>
                <w:szCs w:val="24"/>
                <w:lang w:eastAsia="zh-CN"/>
              </w:rPr>
              <w:t>技改项目</w:t>
            </w:r>
            <w:r>
              <w:rPr>
                <w:rFonts w:hint="default" w:ascii="Times New Roman" w:hAnsi="Times New Roman" w:eastAsia="宋体" w:cs="Times New Roman"/>
                <w:kern w:val="0"/>
                <w:szCs w:val="24"/>
              </w:rPr>
              <w:t>距离最近的生态保护红线区为文昌湖水源涵养生态保护红线区（SD-03-B1-05），北起萌山水库大坝，南至环湖南路，西至环湖西路，东至环湖东路，面积8.22km</w:t>
            </w:r>
            <w:r>
              <w:rPr>
                <w:rFonts w:hint="default" w:ascii="Times New Roman" w:hAnsi="Times New Roman" w:eastAsia="宋体" w:cs="Times New Roman"/>
                <w:kern w:val="0"/>
                <w:szCs w:val="24"/>
                <w:vertAlign w:val="superscript"/>
              </w:rPr>
              <w:t>2</w:t>
            </w:r>
            <w:r>
              <w:rPr>
                <w:rFonts w:hint="default" w:ascii="Times New Roman" w:hAnsi="Times New Roman" w:eastAsia="宋体" w:cs="Times New Roman"/>
                <w:kern w:val="0"/>
                <w:szCs w:val="24"/>
              </w:rPr>
              <w:t>。</w:t>
            </w:r>
            <w:r>
              <w:rPr>
                <w:rFonts w:hint="eastAsia" w:ascii="Times New Roman" w:hAnsi="Times New Roman" w:eastAsia="宋体" w:cs="Times New Roman"/>
                <w:kern w:val="0"/>
                <w:szCs w:val="24"/>
                <w:lang w:eastAsia="zh-CN"/>
              </w:rPr>
              <w:t>技改项目</w:t>
            </w:r>
            <w:r>
              <w:rPr>
                <w:rFonts w:hint="default" w:ascii="Times New Roman" w:hAnsi="Times New Roman" w:eastAsia="宋体" w:cs="Times New Roman"/>
                <w:kern w:val="0"/>
                <w:szCs w:val="24"/>
              </w:rPr>
              <w:t>位于红线区东北侧约3.5km，未在红线保护区内所以</w:t>
            </w:r>
            <w:r>
              <w:rPr>
                <w:rFonts w:hint="eastAsia" w:ascii="Times New Roman" w:hAnsi="Times New Roman" w:eastAsia="宋体" w:cs="Times New Roman"/>
                <w:kern w:val="0"/>
                <w:szCs w:val="24"/>
                <w:lang w:eastAsia="zh-CN"/>
              </w:rPr>
              <w:t>技改项目</w:t>
            </w:r>
            <w:r>
              <w:rPr>
                <w:rFonts w:hint="default" w:ascii="Times New Roman" w:hAnsi="Times New Roman" w:eastAsia="宋体" w:cs="Times New Roman"/>
                <w:kern w:val="0"/>
                <w:szCs w:val="24"/>
              </w:rPr>
              <w:t>不涉及占用或穿越生态保护红线。</w:t>
            </w:r>
          </w:p>
          <w:p>
            <w:pPr>
              <w:autoSpaceDE w:val="0"/>
              <w:autoSpaceDN w:val="0"/>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32"/>
                <w:lang w:val="en-US" w:eastAsia="zh-CN"/>
              </w:rPr>
              <w:t>2</w:t>
            </w: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32"/>
              </w:rPr>
              <w:t>资源利用上线</w:t>
            </w:r>
          </w:p>
          <w:p>
            <w:pPr>
              <w:autoSpaceDE w:val="0"/>
              <w:autoSpaceDN w:val="0"/>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自然资源利用上线也称资源利用红线。资源利用上限是指为促进资源能源节约，保障能源、水、土地等资源安全利用和高效利用的最高和最低要求。</w:t>
            </w:r>
            <w:r>
              <w:rPr>
                <w:rFonts w:hint="eastAsia" w:ascii="Times New Roman" w:hAnsi="Times New Roman" w:eastAsia="宋体" w:cs="Times New Roman"/>
                <w:kern w:val="0"/>
                <w:sz w:val="24"/>
                <w:szCs w:val="32"/>
                <w:lang w:eastAsia="zh-CN"/>
              </w:rPr>
              <w:t>技改项目</w:t>
            </w:r>
            <w:r>
              <w:rPr>
                <w:rFonts w:hint="default" w:ascii="Times New Roman" w:hAnsi="Times New Roman" w:eastAsia="宋体" w:cs="Times New Roman"/>
                <w:kern w:val="0"/>
                <w:sz w:val="24"/>
                <w:szCs w:val="32"/>
              </w:rPr>
              <w:t>运营过程中消耗水资源</w:t>
            </w:r>
            <w:r>
              <w:rPr>
                <w:rFonts w:hint="eastAsia" w:cs="Times New Roman"/>
                <w:kern w:val="0"/>
                <w:sz w:val="24"/>
                <w:szCs w:val="32"/>
                <w:lang w:eastAsia="zh-CN"/>
              </w:rPr>
              <w:t>197.52</w:t>
            </w:r>
            <w:r>
              <w:rPr>
                <w:rFonts w:hint="default" w:ascii="Times New Roman" w:hAnsi="Times New Roman" w:eastAsia="宋体" w:cs="Times New Roman"/>
                <w:kern w:val="0"/>
                <w:sz w:val="24"/>
                <w:szCs w:val="32"/>
              </w:rPr>
              <w:t>t/a、电力10万kW·h/a</w:t>
            </w:r>
            <w:r>
              <w:rPr>
                <w:rFonts w:hint="default" w:ascii="Times New Roman" w:hAnsi="Times New Roman" w:eastAsia="宋体" w:cs="Times New Roman"/>
                <w:kern w:val="0"/>
                <w:sz w:val="24"/>
                <w:szCs w:val="32"/>
                <w:lang w:eastAsia="zh-CN"/>
              </w:rPr>
              <w:t>、液化石油气</w:t>
            </w:r>
            <w:r>
              <w:rPr>
                <w:rFonts w:hint="default" w:ascii="Times New Roman" w:hAnsi="Times New Roman" w:eastAsia="宋体" w:cs="Times New Roman"/>
                <w:kern w:val="0"/>
                <w:sz w:val="24"/>
                <w:szCs w:val="32"/>
                <w:lang w:val="en-US" w:eastAsia="zh-CN"/>
              </w:rPr>
              <w:t>30t/a</w:t>
            </w:r>
            <w:r>
              <w:rPr>
                <w:rFonts w:hint="default" w:ascii="Times New Roman" w:hAnsi="Times New Roman" w:eastAsia="宋体" w:cs="Times New Roman"/>
                <w:kern w:val="0"/>
                <w:sz w:val="24"/>
                <w:szCs w:val="32"/>
              </w:rPr>
              <w:t>。资源消耗量相对区域资源利用总量较少，符合资源利用上限要求。</w:t>
            </w:r>
          </w:p>
          <w:p>
            <w:pPr>
              <w:autoSpaceDE w:val="0"/>
              <w:autoSpaceDN w:val="0"/>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32"/>
                <w:lang w:val="en-US" w:eastAsia="zh-CN"/>
              </w:rPr>
              <w:t>3</w:t>
            </w: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32"/>
              </w:rPr>
              <w:t>环境质量底线</w:t>
            </w:r>
          </w:p>
          <w:p>
            <w:pPr>
              <w:autoSpaceDE w:val="0"/>
              <w:autoSpaceDN w:val="0"/>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项目为技改项目，所排放的污染物对周围环境的影响较小，在可接受范围之内。项目周围大气环境容量可以承载当地经济发展，经预测项目所排放的污染物满足相关排放标准和总量控制指标的要求，不影响当地污染物减排任务的完成，该项目对周围环境影响程度较小满足环境质量底线要求。</w:t>
            </w:r>
          </w:p>
          <w:p>
            <w:pPr>
              <w:autoSpaceDE w:val="0"/>
              <w:autoSpaceDN w:val="0"/>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32"/>
                <w:lang w:val="en-US" w:eastAsia="zh-CN"/>
              </w:rPr>
              <w:t>4</w:t>
            </w: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32"/>
              </w:rPr>
              <w:t>生态环境准入清单</w:t>
            </w:r>
          </w:p>
          <w:p>
            <w:pPr>
              <w:autoSpaceDE w:val="0"/>
              <w:autoSpaceDN w:val="0"/>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根据《淄博市“三线一单”生态环境准入清单》（淄环委办〔2021〕24号），该项目所在地生态环境准入清单要求见下表：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4"/>
                <w:szCs w:val="32"/>
              </w:rPr>
            </w:pPr>
            <w:r>
              <w:rPr>
                <w:rFonts w:hint="default" w:ascii="Times New Roman" w:hAnsi="Times New Roman" w:eastAsia="宋体" w:cs="Times New Roman"/>
                <w:b/>
                <w:bCs/>
                <w:kern w:val="0"/>
                <w:sz w:val="24"/>
                <w:szCs w:val="32"/>
              </w:rPr>
              <w:t>表1-</w:t>
            </w:r>
            <w:r>
              <w:rPr>
                <w:rFonts w:hint="default" w:ascii="Times New Roman" w:hAnsi="Times New Roman" w:eastAsia="宋体" w:cs="Times New Roman"/>
                <w:b/>
                <w:bCs/>
                <w:kern w:val="0"/>
                <w:sz w:val="24"/>
                <w:szCs w:val="32"/>
                <w:lang w:val="en-US" w:eastAsia="zh-CN"/>
              </w:rPr>
              <w:t>2</w:t>
            </w:r>
            <w:r>
              <w:rPr>
                <w:rFonts w:hint="default" w:ascii="Times New Roman" w:hAnsi="Times New Roman" w:eastAsia="宋体" w:cs="Times New Roman"/>
                <w:b/>
                <w:bCs/>
                <w:kern w:val="0"/>
                <w:sz w:val="24"/>
                <w:szCs w:val="32"/>
              </w:rPr>
              <w:t>生态环境准入清单要求</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4108"/>
              <w:gridCol w:w="32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分类</w:t>
                  </w:r>
                </w:p>
              </w:tc>
              <w:tc>
                <w:tcPr>
                  <w:tcW w:w="41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要求</w:t>
                  </w:r>
                </w:p>
              </w:tc>
              <w:tc>
                <w:tcPr>
                  <w:tcW w:w="323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pPr>
                    <w:pStyle w:val="2"/>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空间布局约束</w:t>
                  </w:r>
                </w:p>
              </w:tc>
              <w:tc>
                <w:tcPr>
                  <w:tcW w:w="4112" w:type="dxa"/>
                  <w:tcBorders>
                    <w:tl2br w:val="nil"/>
                    <w:tr2bl w:val="nil"/>
                  </w:tcBorders>
                  <w:vAlign w:val="center"/>
                </w:tcPr>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禁止新建、扩建《产业结构调整指导目录》（现行）明确的淘汰类项目和引入《市场准入负面清单》（现行）禁止准入类事项；鼓励对列入《产业结构调整指导目录》的限制类、淘汰类工业项目进行淘汰和提升改造。</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生态保护红线内禁止城镇化和工业化活动，严禁开展不符合主体功能定位的各类开发活动。对生态保护红线内文昌湖赤眼鳟国家级水产种质资源保护区、文昌湖省级湿地公园的管理，严格按照《关于在国土空间规划中统筹划定落实三条控制线的指导意见》（2019年11月）、《关于划定并严守生态保护红线的若干意见》《自然生态空间用途管制办法（试行）》（国土资发〔2017〕33号）等相关要求管控。</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3.生态保护红线外的生态空间，依法依规以保护为主，严格限制大规模、高强度的区域开发，并根据其主导生态功能进行分类管控。</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按《土壤污染防治行动计划》的要求管理：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5.污水处理设施不健全、未正常运行或污水管网未覆盖的地区，未配套污水处理设施的项目不得建设。</w:t>
                  </w:r>
                </w:p>
              </w:tc>
              <w:tc>
                <w:tcPr>
                  <w:tcW w:w="3239" w:type="dxa"/>
                  <w:tcBorders>
                    <w:tl2br w:val="nil"/>
                    <w:tr2bl w:val="nil"/>
                  </w:tcBorders>
                  <w:vAlign w:val="center"/>
                </w:tcPr>
                <w:p>
                  <w:pPr>
                    <w:pStyle w:val="2"/>
                    <w:adjustRightInd w:val="0"/>
                    <w:snapToGrid w:val="0"/>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1.项目的规模、产品、工艺以及采用的生产设备均不属于《产业结构调整指导目录（2019年本）》淘汰类和限制类项目。</w:t>
                  </w:r>
                </w:p>
                <w:p>
                  <w:pPr>
                    <w:adjustRightInd w:val="0"/>
                    <w:snapToGrid w:val="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r>
                    <w:rPr>
                      <w:rFonts w:hint="eastAsia" w:ascii="Times New Roman" w:hAnsi="Times New Roman" w:eastAsia="宋体" w:cs="Times New Roman"/>
                      <w:kern w:val="0"/>
                      <w:szCs w:val="21"/>
                      <w:lang w:eastAsia="zh-CN"/>
                    </w:rPr>
                    <w:t>技改项目</w:t>
                  </w:r>
                  <w:r>
                    <w:rPr>
                      <w:rFonts w:hint="default" w:ascii="Times New Roman" w:hAnsi="Times New Roman" w:eastAsia="宋体" w:cs="Times New Roman"/>
                      <w:kern w:val="0"/>
                      <w:szCs w:val="21"/>
                    </w:rPr>
                    <w:t>不在生态保护红线内，项目与生态保护红线的位置关系见附图。</w:t>
                  </w:r>
                </w:p>
                <w:p>
                  <w:pPr>
                    <w:pStyle w:val="2"/>
                    <w:adjustRightInd w:val="0"/>
                    <w:snapToGrid w:val="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不在生态保护红线内，项目与生态保护红线的位置关系见附图。</w:t>
                  </w:r>
                </w:p>
                <w:p>
                  <w:pPr>
                    <w:adjustRightInd w:val="0"/>
                    <w:snapToGrid w:val="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r>
                    <w:rPr>
                      <w:rFonts w:hint="eastAsia" w:ascii="Times New Roman" w:hAnsi="Times New Roman" w:eastAsia="宋体" w:cs="Times New Roman"/>
                      <w:kern w:val="0"/>
                      <w:szCs w:val="21"/>
                      <w:lang w:eastAsia="zh-CN"/>
                    </w:rPr>
                    <w:t>技改项目</w:t>
                  </w:r>
                  <w:r>
                    <w:rPr>
                      <w:rFonts w:hint="default" w:ascii="Times New Roman" w:hAnsi="Times New Roman" w:eastAsia="宋体" w:cs="Times New Roman"/>
                      <w:kern w:val="0"/>
                      <w:szCs w:val="21"/>
                    </w:rPr>
                    <w:t>不新征用地，利用现有厂房进行生产；设环保措施对污染物进行处理，废气排放量小；资源消耗量相对区域资源利用总量较少，对生态环境影响不大。</w:t>
                  </w:r>
                </w:p>
                <w:p>
                  <w:pPr>
                    <w:pStyle w:val="2"/>
                    <w:adjustRightInd w:val="0"/>
                    <w:snapToGrid w:val="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r>
                    <w:rPr>
                      <w:rFonts w:hint="eastAsia" w:ascii="Times New Roman" w:hAnsi="Times New Roman" w:eastAsia="宋体" w:cs="Times New Roman"/>
                      <w:kern w:val="0"/>
                      <w:sz w:val="21"/>
                      <w:szCs w:val="21"/>
                      <w:lang w:eastAsia="zh-CN"/>
                    </w:rPr>
                    <w:t>技改项目无废水外排，项目建成后全厂</w:t>
                  </w:r>
                  <w:r>
                    <w:rPr>
                      <w:rFonts w:hint="default" w:ascii="Times New Roman" w:hAnsi="Times New Roman" w:eastAsia="宋体" w:cs="Times New Roman"/>
                      <w:kern w:val="0"/>
                      <w:sz w:val="21"/>
                      <w:szCs w:val="21"/>
                    </w:rPr>
                    <w:t>废水主要为生活污水，生活污水经旱厕暂存后用作周边农田农肥。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l2br w:val="nil"/>
                    <w:tr2bl w:val="nil"/>
                  </w:tcBorders>
                  <w:vAlign w:val="center"/>
                </w:tcPr>
                <w:p>
                  <w:pPr>
                    <w:pStyle w:val="2"/>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污染物排放管控</w:t>
                  </w:r>
                </w:p>
              </w:tc>
              <w:tc>
                <w:tcPr>
                  <w:tcW w:w="4112" w:type="dxa"/>
                  <w:tcBorders>
                    <w:tl2br w:val="nil"/>
                    <w:tr2bl w:val="nil"/>
                  </w:tcBorders>
                  <w:vAlign w:val="center"/>
                </w:tcPr>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1.严格控制“两高”项目，确需建设的需严格执行产能、煤耗、能耗、碳排放、污染物排放减量替代制度。</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2.落实主要污染物总量控制和排污许可制度。新（改、扩）建工业项目生产工艺应达到国内先进水平，主要污染物治理要达到国内同行业先进水平，实施主要污染物总量等量或倍量替代。</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3.废水应当按照分类收集、分质处理的要求进行预处理，达到行业排放标准或是综合排放标准后方可排放。</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4.禁止工业废水和生活污水未经处理直排环境；原则上除工业污水集中处理设施、城镇污水处理厂外不得新建入河排污口。</w:t>
                  </w:r>
                </w:p>
                <w:p>
                  <w:pPr>
                    <w:widowControl/>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5.表面涂装、铸造、建材、耐火、塑料加工等严格按照淄博市行业环境管控要求，实施源头替代，建立健全治理设施，确保污染物稳定达标排放，做到持证排污。</w:t>
                  </w:r>
                </w:p>
                <w:p>
                  <w:pPr>
                    <w:widowControl/>
                    <w:jc w:val="left"/>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6.规模养殖场（小区）粪污处理设施装备配套率达到100%。通过管网截污、小型污水处理站和氧化塘、人工湿地等方式因地制宜处理处置农村生活污水，解决农村污水直排问题。</w:t>
                  </w:r>
                </w:p>
                <w:p>
                  <w:pPr>
                    <w:widowControl/>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7.进一步加强对建设工程施工、建筑物拆除、交通运输、道路保洁、物料运输与堆存、取土、养护绿化等活动的扬尘管理。</w:t>
                  </w:r>
                </w:p>
              </w:tc>
              <w:tc>
                <w:tcPr>
                  <w:tcW w:w="3239" w:type="dxa"/>
                  <w:tcBorders>
                    <w:tl2br w:val="nil"/>
                    <w:tr2bl w:val="nil"/>
                  </w:tcBorders>
                  <w:vAlign w:val="center"/>
                </w:tcPr>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不属于“两高”项目。</w:t>
                  </w:r>
                </w:p>
                <w:p>
                  <w:pP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2.企业应当在</w:t>
                  </w:r>
                  <w:r>
                    <w:rPr>
                      <w:rFonts w:hint="eastAsia" w:ascii="Times New Roman" w:hAnsi="Times New Roman" w:eastAsia="宋体" w:cs="Times New Roman"/>
                      <w:kern w:val="0"/>
                      <w:szCs w:val="21"/>
                      <w:lang w:eastAsia="zh-CN"/>
                    </w:rPr>
                    <w:t>技改项目</w:t>
                  </w:r>
                  <w:r>
                    <w:rPr>
                      <w:rFonts w:hint="default" w:ascii="Times New Roman" w:hAnsi="Times New Roman" w:eastAsia="宋体" w:cs="Times New Roman"/>
                      <w:kern w:val="0"/>
                      <w:szCs w:val="21"/>
                    </w:rPr>
                    <w:t>投入生产或使用并产生实际排污行为之前完成排污许可证申报，</w:t>
                  </w:r>
                  <w:r>
                    <w:rPr>
                      <w:rFonts w:hint="eastAsia" w:ascii="Times New Roman" w:hAnsi="Times New Roman" w:eastAsia="宋体" w:cs="Times New Roman"/>
                      <w:kern w:val="0"/>
                      <w:szCs w:val="21"/>
                      <w:lang w:eastAsia="zh-CN"/>
                    </w:rPr>
                    <w:t>企业</w:t>
                  </w:r>
                  <w:r>
                    <w:rPr>
                      <w:rFonts w:hint="default" w:ascii="Times New Roman" w:hAnsi="Times New Roman" w:eastAsia="宋体" w:cs="Times New Roman"/>
                      <w:kern w:val="0"/>
                      <w:szCs w:val="21"/>
                    </w:rPr>
                    <w:t>需申请总量控制指标</w:t>
                  </w:r>
                  <w:r>
                    <w:rPr>
                      <w:rFonts w:hint="eastAsia" w:cs="Times New Roman"/>
                      <w:kern w:val="0"/>
                      <w:szCs w:val="21"/>
                      <w:lang w:val="en-US" w:eastAsia="zh-CN"/>
                    </w:rPr>
                    <w:t>SO</w:t>
                  </w:r>
                  <w:r>
                    <w:rPr>
                      <w:rFonts w:hint="eastAsia" w:cs="Times New Roman"/>
                      <w:kern w:val="0"/>
                      <w:szCs w:val="21"/>
                      <w:vertAlign w:val="subscript"/>
                      <w:lang w:val="en-US" w:eastAsia="zh-CN"/>
                    </w:rPr>
                    <w:t>2</w:t>
                  </w:r>
                  <w:r>
                    <w:rPr>
                      <w:rFonts w:hint="eastAsia" w:cs="Times New Roman"/>
                      <w:kern w:val="0"/>
                      <w:szCs w:val="21"/>
                      <w:lang w:val="en-US" w:eastAsia="zh-CN"/>
                    </w:rPr>
                    <w:t>0.0095t/a、NO</w:t>
                  </w:r>
                  <w:r>
                    <w:rPr>
                      <w:rFonts w:hint="eastAsia" w:cs="Times New Roman"/>
                      <w:kern w:val="0"/>
                      <w:szCs w:val="21"/>
                      <w:vertAlign w:val="subscript"/>
                      <w:lang w:val="en-US" w:eastAsia="zh-CN"/>
                    </w:rPr>
                    <w:t>X</w:t>
                  </w:r>
                  <w:r>
                    <w:rPr>
                      <w:rFonts w:hint="eastAsia" w:cs="Times New Roman"/>
                      <w:kern w:val="0"/>
                      <w:szCs w:val="21"/>
                      <w:lang w:val="en-US" w:eastAsia="zh-CN"/>
                    </w:rPr>
                    <w:t>0.0825t/a、颗粒物0.0013t/a</w:t>
                  </w:r>
                  <w:r>
                    <w:rPr>
                      <w:rFonts w:hint="default" w:ascii="Times New Roman" w:hAnsi="Times New Roman" w:eastAsia="宋体" w:cs="Times New Roman"/>
                      <w:kern w:val="0"/>
                      <w:szCs w:val="21"/>
                    </w:rPr>
                    <w:t>；</w:t>
                  </w:r>
                  <w:r>
                    <w:rPr>
                      <w:rFonts w:hint="eastAsia" w:ascii="Times New Roman" w:hAnsi="Times New Roman" w:eastAsia="宋体" w:cs="Times New Roman"/>
                      <w:kern w:val="0"/>
                      <w:szCs w:val="21"/>
                      <w:lang w:eastAsia="zh-CN"/>
                    </w:rPr>
                    <w:t>技改项目</w:t>
                  </w:r>
                  <w:r>
                    <w:rPr>
                      <w:rFonts w:hint="default" w:ascii="Times New Roman" w:hAnsi="Times New Roman" w:eastAsia="宋体" w:cs="Times New Roman"/>
                      <w:kern w:val="0"/>
                      <w:szCs w:val="21"/>
                    </w:rPr>
                    <w:t>生产工艺较先进，污染物治理水平可达到国内同行业先进水平。</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生产用水为清洗用水，清洗用水循环使用，不外排。</w:t>
                  </w:r>
                </w:p>
                <w:p>
                  <w:pP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r>
                    <w:rPr>
                      <w:rFonts w:hint="eastAsia" w:ascii="Times New Roman" w:hAnsi="Times New Roman" w:eastAsia="宋体" w:cs="Times New Roman"/>
                      <w:kern w:val="0"/>
                      <w:szCs w:val="21"/>
                      <w:lang w:eastAsia="zh-CN"/>
                    </w:rPr>
                    <w:t>技改项目无废水外排，项目建成后全厂污水为</w:t>
                  </w:r>
                  <w:r>
                    <w:rPr>
                      <w:rFonts w:hint="default" w:ascii="Times New Roman" w:hAnsi="Times New Roman" w:eastAsia="宋体" w:cs="Times New Roman"/>
                      <w:kern w:val="0"/>
                      <w:szCs w:val="21"/>
                    </w:rPr>
                    <w:t>生活污水</w:t>
                  </w:r>
                  <w:r>
                    <w:rPr>
                      <w:rFonts w:hint="eastAsia" w:ascii="Times New Roman" w:hAnsi="Times New Roman" w:eastAsia="宋体" w:cs="Times New Roman"/>
                      <w:kern w:val="0"/>
                      <w:szCs w:val="21"/>
                      <w:lang w:eastAsia="zh-CN"/>
                    </w:rPr>
                    <w:t>，</w:t>
                  </w:r>
                  <w:r>
                    <w:rPr>
                      <w:rFonts w:hint="default" w:ascii="Times New Roman" w:hAnsi="Times New Roman" w:eastAsia="宋体" w:cs="Times New Roman"/>
                      <w:kern w:val="0"/>
                      <w:szCs w:val="21"/>
                    </w:rPr>
                    <w:t>经旱厕暂存后用作周边农田农肥。</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建成后依法进行排污登记，</w:t>
                  </w:r>
                  <w:r>
                    <w:rPr>
                      <w:rFonts w:hint="eastAsia" w:cs="Times New Roman"/>
                      <w:kern w:val="0"/>
                      <w:sz w:val="21"/>
                      <w:szCs w:val="21"/>
                      <w:lang w:eastAsia="zh-CN"/>
                    </w:rPr>
                    <w:t>项目取消贴烤花工序，</w:t>
                  </w:r>
                  <w:r>
                    <w:rPr>
                      <w:rFonts w:hint="eastAsia" w:cs="Times New Roman"/>
                      <w:kern w:val="0"/>
                      <w:sz w:val="21"/>
                      <w:szCs w:val="21"/>
                      <w:lang w:val="en-US" w:eastAsia="zh-CN"/>
                    </w:rPr>
                    <w:t>VOCs</w:t>
                  </w:r>
                  <w:r>
                    <w:rPr>
                      <w:rFonts w:hint="eastAsia" w:cs="Times New Roman"/>
                      <w:kern w:val="0"/>
                      <w:sz w:val="21"/>
                      <w:szCs w:val="21"/>
                      <w:lang w:eastAsia="zh-CN"/>
                    </w:rPr>
                    <w:t>不再产生</w:t>
                  </w:r>
                  <w:r>
                    <w:rPr>
                      <w:rFonts w:hint="default" w:ascii="Times New Roman" w:hAnsi="Times New Roman" w:eastAsia="宋体" w:cs="Times New Roman"/>
                      <w:kern w:val="0"/>
                      <w:sz w:val="21"/>
                      <w:szCs w:val="21"/>
                    </w:rPr>
                    <w:t>；液化石油气燃烧产生的颗粒物、SO</w:t>
                  </w:r>
                  <w:r>
                    <w:rPr>
                      <w:rFonts w:hint="default" w:ascii="Times New Roman" w:hAnsi="Times New Roman" w:eastAsia="宋体" w:cs="Times New Roman"/>
                      <w:kern w:val="0"/>
                      <w:sz w:val="21"/>
                      <w:szCs w:val="21"/>
                      <w:vertAlign w:val="subscript"/>
                    </w:rPr>
                    <w:t>2</w:t>
                  </w:r>
                  <w:r>
                    <w:rPr>
                      <w:rFonts w:hint="default" w:ascii="Times New Roman" w:hAnsi="Times New Roman" w:eastAsia="宋体" w:cs="Times New Roman"/>
                      <w:kern w:val="0"/>
                      <w:sz w:val="21"/>
                      <w:szCs w:val="21"/>
                    </w:rPr>
                    <w:t>、NO</w:t>
                  </w:r>
                  <w:r>
                    <w:rPr>
                      <w:rFonts w:hint="default" w:ascii="Times New Roman" w:hAnsi="Times New Roman" w:eastAsia="宋体" w:cs="Times New Roman"/>
                      <w:kern w:val="0"/>
                      <w:sz w:val="21"/>
                      <w:szCs w:val="21"/>
                      <w:vertAlign w:val="subscript"/>
                    </w:rPr>
                    <w:t>X</w:t>
                  </w:r>
                  <w:r>
                    <w:rPr>
                      <w:rFonts w:hint="default" w:ascii="Times New Roman" w:hAnsi="Times New Roman" w:eastAsia="宋体" w:cs="Times New Roman"/>
                      <w:kern w:val="0"/>
                      <w:sz w:val="21"/>
                      <w:szCs w:val="21"/>
                    </w:rPr>
                    <w:t>密闭车间内无组织排放。</w:t>
                  </w:r>
                </w:p>
                <w:p>
                  <w:pP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r>
                    <w:rPr>
                      <w:rFonts w:hint="eastAsia" w:ascii="Times New Roman" w:hAnsi="Times New Roman" w:eastAsia="宋体" w:cs="Times New Roman"/>
                      <w:kern w:val="0"/>
                      <w:szCs w:val="21"/>
                      <w:lang w:eastAsia="zh-CN"/>
                    </w:rPr>
                    <w:t>技改项目</w:t>
                  </w:r>
                  <w:r>
                    <w:rPr>
                      <w:rFonts w:hint="default" w:ascii="Times New Roman" w:hAnsi="Times New Roman" w:eastAsia="宋体" w:cs="Times New Roman"/>
                      <w:kern w:val="0"/>
                      <w:szCs w:val="21"/>
                    </w:rPr>
                    <w:t>不属于规模养殖场（小区）。</w:t>
                  </w:r>
                </w:p>
                <w:p>
                  <w:pP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r>
                    <w:rPr>
                      <w:rFonts w:hint="eastAsia" w:ascii="Times New Roman" w:hAnsi="Times New Roman" w:eastAsia="宋体" w:cs="Times New Roman"/>
                      <w:kern w:val="0"/>
                      <w:szCs w:val="21"/>
                      <w:lang w:eastAsia="zh-CN"/>
                    </w:rPr>
                    <w:t>技改项目</w:t>
                  </w:r>
                  <w:r>
                    <w:rPr>
                      <w:rFonts w:hint="default" w:ascii="Times New Roman" w:hAnsi="Times New Roman" w:eastAsia="宋体" w:cs="Times New Roman"/>
                      <w:kern w:val="0"/>
                      <w:szCs w:val="21"/>
                    </w:rPr>
                    <w:t>施工期主要为设备安装及调试，主要影响因素是设备调试运行时产生的机械噪声和设备安装时产生的少量固废，对周围环境影响较小。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pPr>
                    <w:pStyle w:val="2"/>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环境风险防控</w:t>
                  </w:r>
                </w:p>
              </w:tc>
              <w:tc>
                <w:tcPr>
                  <w:tcW w:w="4112" w:type="dxa"/>
                  <w:tcBorders>
                    <w:tl2br w:val="nil"/>
                    <w:tr2bl w:val="nil"/>
                  </w:tcBorders>
                  <w:vAlign w:val="center"/>
                </w:tcPr>
                <w:p>
                  <w:pPr>
                    <w:pStyle w:val="2"/>
                    <w:spacing w:after="0"/>
                    <w:ind w:left="0" w:leftChars="0" w:firstLine="0" w:firstLineChars="0"/>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1.建立生态保护红线常态化日常巡护。</w:t>
                  </w:r>
                </w:p>
                <w:p>
                  <w:pPr>
                    <w:pStyle w:val="2"/>
                    <w:spacing w:after="0"/>
                    <w:ind w:left="0" w:leftChars="0" w:firstLine="0" w:firstLineChars="0"/>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2.加强饮用水水源地日常巡检。设立水源地界标、警示标志。</w:t>
                  </w:r>
                </w:p>
                <w:p>
                  <w:pPr>
                    <w:pStyle w:val="2"/>
                    <w:spacing w:after="0"/>
                    <w:ind w:left="0" w:leftChars="0" w:firstLine="0" w:firstLineChars="0"/>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3.加强农田土壤、灌溉水的监测，对周边区域环境风险源进行评估。</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4.企业应按照《企业事业单位突发环境事件应急预案备案管理办法（试行）》等要求，依法依规编制环境应急预案并定期开展演练。</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5.建立各企业危险废物的贮存、申报、经营许可、转移及处置管理制度，并负责对危废相应活动的全程监管和环境安全保障。</w:t>
                  </w:r>
                </w:p>
              </w:tc>
              <w:tc>
                <w:tcPr>
                  <w:tcW w:w="3239" w:type="dxa"/>
                  <w:tcBorders>
                    <w:tl2br w:val="nil"/>
                    <w:tr2bl w:val="nil"/>
                  </w:tcBorders>
                  <w:vAlign w:val="center"/>
                </w:tcPr>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不在生态保护红线内。</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不在饮用水水源地范围内。</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r>
                    <w:rPr>
                      <w:rFonts w:hint="eastAsia" w:ascii="Times New Roman" w:hAnsi="Times New Roman" w:eastAsia="宋体" w:cs="Times New Roman"/>
                      <w:kern w:val="0"/>
                      <w:sz w:val="21"/>
                      <w:szCs w:val="21"/>
                      <w:lang w:eastAsia="zh-CN"/>
                    </w:rPr>
                    <w:t>技改项目无废水外排，项目建成后全厂</w:t>
                  </w:r>
                  <w:r>
                    <w:rPr>
                      <w:rFonts w:hint="default" w:ascii="Times New Roman" w:hAnsi="Times New Roman" w:eastAsia="宋体" w:cs="Times New Roman"/>
                      <w:kern w:val="0"/>
                      <w:sz w:val="21"/>
                      <w:szCs w:val="21"/>
                    </w:rPr>
                    <w:t>废水主要为生活污水，经旱厕暂存后用作周边农田农肥。</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4.现处于环评编制阶段，企业应按照要求编制环境风险应急预案并定期开展演练。</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建成后应建立危险废物贮存、申报、经营许可、转移及处置管理制度，并负责对危废相应活动的全程监管和环境安全保障。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pPr>
                    <w:pStyle w:val="2"/>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资源开发效率要求</w:t>
                  </w:r>
                </w:p>
              </w:tc>
              <w:tc>
                <w:tcPr>
                  <w:tcW w:w="4112" w:type="dxa"/>
                  <w:tcBorders>
                    <w:tl2br w:val="nil"/>
                    <w:tr2bl w:val="nil"/>
                  </w:tcBorders>
                  <w:vAlign w:val="center"/>
                </w:tcPr>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1.加强农业节水，提高水资源使用效率。</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2.提升土地集约化水平。</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3.调整能源利用结构，控制煤炭消费量，实现减量化，鼓励使用清洁能源、新能源和可再生能源。</w:t>
                  </w:r>
                </w:p>
              </w:tc>
              <w:tc>
                <w:tcPr>
                  <w:tcW w:w="3239" w:type="dxa"/>
                  <w:tcBorders>
                    <w:tl2br w:val="nil"/>
                    <w:tr2bl w:val="nil"/>
                  </w:tcBorders>
                  <w:vAlign w:val="center"/>
                </w:tcPr>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不属于农业项目。</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租用现有厂房。</w:t>
                  </w:r>
                </w:p>
                <w:p>
                  <w:pPr>
                    <w:pStyle w:val="2"/>
                    <w:spacing w:after="0"/>
                    <w:ind w:left="0" w:leftChars="0" w:firstLine="0" w:firstLine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r>
                    <w:rPr>
                      <w:rFonts w:hint="eastAsia" w:ascii="Times New Roman" w:hAnsi="Times New Roman" w:eastAsia="宋体" w:cs="Times New Roman"/>
                      <w:kern w:val="0"/>
                      <w:sz w:val="21"/>
                      <w:szCs w:val="21"/>
                      <w:lang w:eastAsia="zh-CN"/>
                    </w:rPr>
                    <w:t>技改项目</w:t>
                  </w:r>
                  <w:r>
                    <w:rPr>
                      <w:rFonts w:hint="default" w:ascii="Times New Roman" w:hAnsi="Times New Roman" w:eastAsia="宋体" w:cs="Times New Roman"/>
                      <w:kern w:val="0"/>
                      <w:sz w:val="21"/>
                      <w:szCs w:val="21"/>
                    </w:rPr>
                    <w:t>不使用煤炭，能源使用清洁能源电能及液化石油气。</w:t>
                  </w:r>
                </w:p>
              </w:tc>
            </w:tr>
          </w:tbl>
          <w:p>
            <w:pPr>
              <w:tabs>
                <w:tab w:val="left" w:pos="5427"/>
              </w:tabs>
              <w:adjustRightInd w:val="0"/>
              <w:snapToGrid w:val="0"/>
              <w:spacing w:line="360" w:lineRule="auto"/>
              <w:ind w:firstLine="480" w:firstLineChars="200"/>
              <w:rPr>
                <w:rFonts w:hint="default" w:ascii="Times New Roman" w:hAnsi="Times New Roman" w:eastAsia="宋体" w:cs="Times New Roman"/>
                <w:kern w:val="0"/>
                <w:sz w:val="24"/>
                <w:szCs w:val="32"/>
                <w:lang w:eastAsia="zh-CN"/>
              </w:rPr>
            </w:pPr>
            <w:r>
              <w:rPr>
                <w:rFonts w:hint="default" w:ascii="Times New Roman" w:hAnsi="Times New Roman" w:eastAsia="宋体" w:cs="Times New Roman"/>
                <w:kern w:val="0"/>
                <w:sz w:val="24"/>
                <w:szCs w:val="32"/>
              </w:rPr>
              <w:t>4</w:t>
            </w: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32"/>
              </w:rPr>
              <w:t>项目选址合理性分析</w:t>
            </w:r>
          </w:p>
          <w:p>
            <w:pPr>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项目位于山东省淄博市文昌湖区萌水镇萌二村委南100米，项目厂区东侧为道路，西侧为树林，南侧为树林，北侧为闲置厂房。项目距离最近的环境敏感目标为项目区西侧5m的萌二村。</w:t>
            </w:r>
          </w:p>
          <w:p>
            <w:pPr>
              <w:spacing w:line="360" w:lineRule="auto"/>
              <w:ind w:firstLine="480" w:firstLineChars="200"/>
              <w:rPr>
                <w:rFonts w:hint="default" w:ascii="Times New Roman" w:hAnsi="Times New Roman" w:eastAsia="宋体" w:cs="Times New Roman"/>
                <w:kern w:val="0"/>
                <w:sz w:val="24"/>
                <w:szCs w:val="32"/>
                <w:lang w:eastAsia="zh-CN"/>
              </w:rPr>
            </w:pPr>
            <w:r>
              <w:rPr>
                <w:rFonts w:hint="default" w:ascii="Times New Roman" w:hAnsi="Times New Roman" w:eastAsia="宋体" w:cs="Times New Roman"/>
                <w:kern w:val="0"/>
                <w:sz w:val="24"/>
                <w:szCs w:val="32"/>
              </w:rPr>
              <w:t>项目选址符合大气环境防护距离要求，在各项环境污染治理措施落实后，污染物可以达标排放，项目满足当地环境功能要求，符合清洁生产要求，工程风险能够有效控制。</w:t>
            </w:r>
          </w:p>
          <w:p>
            <w:pPr>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rPr>
              <w:t>综上，项目选址是合理的。</w:t>
            </w:r>
          </w:p>
          <w:p>
            <w:pPr>
              <w:numPr>
                <w:ilvl w:val="0"/>
                <w:numId w:val="1"/>
              </w:numPr>
              <w:tabs>
                <w:tab w:val="left" w:pos="5427"/>
              </w:tabs>
              <w:adjustRightInd w:val="0"/>
              <w:snapToGrid w:val="0"/>
              <w:spacing w:line="360" w:lineRule="auto"/>
              <w:ind w:firstLine="480" w:firstLineChars="200"/>
              <w:rPr>
                <w:rFonts w:hint="default" w:ascii="Times New Roman" w:hAnsi="Times New Roman" w:eastAsia="宋体" w:cs="Times New Roman"/>
                <w:kern w:val="0"/>
                <w:sz w:val="24"/>
                <w:szCs w:val="32"/>
              </w:rPr>
            </w:pPr>
            <w:r>
              <w:rPr>
                <w:rFonts w:hint="default" w:ascii="Times New Roman" w:hAnsi="Times New Roman" w:eastAsia="宋体" w:cs="Times New Roman"/>
                <w:kern w:val="0"/>
                <w:sz w:val="24"/>
                <w:szCs w:val="32"/>
                <w:lang w:eastAsia="zh-CN"/>
              </w:rPr>
              <w:t>与《山东省生态环境委员会办公室关于印发山东省深入打好蓝天保卫战行动计划(2021—2025年</w:t>
            </w:r>
            <w:r>
              <w:rPr>
                <w:rFonts w:hint="eastAsia" w:cs="Times New Roman"/>
                <w:kern w:val="0"/>
                <w:sz w:val="24"/>
                <w:szCs w:val="32"/>
                <w:lang w:eastAsia="zh-CN"/>
              </w:rPr>
              <w:t>）</w:t>
            </w:r>
            <w:r>
              <w:rPr>
                <w:rFonts w:hint="default" w:ascii="Times New Roman" w:hAnsi="Times New Roman" w:eastAsia="宋体" w:cs="Times New Roman"/>
                <w:kern w:val="0"/>
                <w:sz w:val="24"/>
                <w:szCs w:val="32"/>
                <w:lang w:eastAsia="zh-CN"/>
              </w:rPr>
              <w:t>、山东省深入打好碧水保卫战行动计划(2021—2025年</w:t>
            </w:r>
            <w:r>
              <w:rPr>
                <w:rFonts w:hint="eastAsia" w:cs="Times New Roman"/>
                <w:kern w:val="0"/>
                <w:sz w:val="24"/>
                <w:szCs w:val="32"/>
                <w:lang w:eastAsia="zh-CN"/>
              </w:rPr>
              <w:t>）</w:t>
            </w:r>
            <w:r>
              <w:rPr>
                <w:rFonts w:hint="default" w:ascii="Times New Roman" w:hAnsi="Times New Roman" w:eastAsia="宋体" w:cs="Times New Roman"/>
                <w:kern w:val="0"/>
                <w:sz w:val="24"/>
                <w:szCs w:val="32"/>
                <w:lang w:eastAsia="zh-CN"/>
              </w:rPr>
              <w:t>、山东省深入打好净土保卫战行动计划(2021—2025年</w:t>
            </w:r>
            <w:r>
              <w:rPr>
                <w:rFonts w:hint="eastAsia" w:cs="Times New Roman"/>
                <w:kern w:val="0"/>
                <w:sz w:val="24"/>
                <w:szCs w:val="32"/>
                <w:lang w:eastAsia="zh-CN"/>
              </w:rPr>
              <w:t>）</w:t>
            </w:r>
            <w:r>
              <w:rPr>
                <w:rFonts w:hint="default" w:ascii="Times New Roman" w:hAnsi="Times New Roman" w:eastAsia="宋体" w:cs="Times New Roman"/>
                <w:kern w:val="0"/>
                <w:sz w:val="24"/>
                <w:szCs w:val="32"/>
                <w:lang w:eastAsia="zh-CN"/>
              </w:rPr>
              <w:t>的通知》（鲁环委办</w:t>
            </w:r>
            <w:r>
              <w:rPr>
                <w:rFonts w:hint="eastAsia" w:cs="Times New Roman"/>
                <w:kern w:val="0"/>
                <w:sz w:val="24"/>
                <w:szCs w:val="32"/>
                <w:lang w:eastAsia="zh-CN"/>
              </w:rPr>
              <w:t>〔</w:t>
            </w:r>
            <w:r>
              <w:rPr>
                <w:rFonts w:hint="default" w:ascii="Times New Roman" w:hAnsi="Times New Roman" w:eastAsia="宋体" w:cs="Times New Roman"/>
                <w:kern w:val="0"/>
                <w:sz w:val="24"/>
                <w:szCs w:val="32"/>
                <w:lang w:val="en-US" w:eastAsia="zh-CN"/>
              </w:rPr>
              <w:t>2021</w:t>
            </w:r>
            <w:r>
              <w:rPr>
                <w:rFonts w:hint="eastAsia" w:cs="Times New Roman"/>
                <w:kern w:val="0"/>
                <w:sz w:val="24"/>
                <w:szCs w:val="32"/>
                <w:lang w:val="en-US" w:eastAsia="zh-CN"/>
              </w:rPr>
              <w:t>〕</w:t>
            </w:r>
            <w:r>
              <w:rPr>
                <w:rFonts w:hint="default" w:ascii="Times New Roman" w:hAnsi="Times New Roman" w:eastAsia="宋体" w:cs="Times New Roman"/>
                <w:kern w:val="0"/>
                <w:sz w:val="24"/>
                <w:szCs w:val="32"/>
                <w:lang w:val="en-US" w:eastAsia="zh-CN"/>
              </w:rPr>
              <w:t>30号</w:t>
            </w:r>
            <w:r>
              <w:rPr>
                <w:rFonts w:hint="default" w:ascii="Times New Roman" w:hAnsi="Times New Roman" w:eastAsia="宋体" w:cs="Times New Roman"/>
                <w:kern w:val="0"/>
                <w:sz w:val="24"/>
                <w:szCs w:val="32"/>
                <w:lang w:eastAsia="zh-CN"/>
              </w:rPr>
              <w:t>）符合性分析</w:t>
            </w:r>
          </w:p>
          <w:p>
            <w:pPr>
              <w:pStyle w:val="24"/>
              <w:jc w:val="center"/>
              <w:rPr>
                <w:rFonts w:hint="default" w:ascii="Times New Roman" w:hAnsi="Times New Roman" w:eastAsia="宋体" w:cs="Times New Roman"/>
                <w:kern w:val="0"/>
                <w:lang w:val="en-US" w:eastAsia="zh-CN"/>
              </w:rPr>
            </w:pPr>
            <w:r>
              <w:rPr>
                <w:rFonts w:hint="default" w:ascii="Times New Roman" w:hAnsi="Times New Roman" w:eastAsia="宋体" w:cs="Times New Roman"/>
                <w:b/>
                <w:bCs/>
                <w:kern w:val="0"/>
                <w:sz w:val="24"/>
                <w:szCs w:val="24"/>
                <w:lang w:val="en-US" w:eastAsia="zh-CN"/>
              </w:rPr>
              <w:t>表1-3 与</w:t>
            </w:r>
            <w:r>
              <w:rPr>
                <w:rFonts w:hint="default" w:ascii="Times New Roman" w:hAnsi="Times New Roman" w:eastAsia="宋体" w:cs="Times New Roman"/>
                <w:b/>
                <w:bCs/>
                <w:kern w:val="0"/>
                <w:sz w:val="24"/>
                <w:szCs w:val="32"/>
                <w:lang w:eastAsia="zh-CN"/>
              </w:rPr>
              <w:t>鲁环委办</w:t>
            </w:r>
            <w:r>
              <w:rPr>
                <w:rFonts w:hint="eastAsia" w:ascii="Times New Roman" w:cs="Times New Roman"/>
                <w:b/>
                <w:bCs/>
                <w:kern w:val="0"/>
                <w:sz w:val="24"/>
                <w:szCs w:val="32"/>
                <w:lang w:eastAsia="zh-CN"/>
              </w:rPr>
              <w:t>〔</w:t>
            </w:r>
            <w:r>
              <w:rPr>
                <w:rFonts w:hint="default" w:ascii="Times New Roman" w:hAnsi="Times New Roman" w:eastAsia="宋体" w:cs="Times New Roman"/>
                <w:b/>
                <w:bCs/>
                <w:kern w:val="0"/>
                <w:sz w:val="24"/>
                <w:szCs w:val="32"/>
                <w:lang w:val="en-US" w:eastAsia="zh-CN"/>
              </w:rPr>
              <w:t>2021</w:t>
            </w:r>
            <w:r>
              <w:rPr>
                <w:rFonts w:hint="eastAsia" w:ascii="Times New Roman" w:cs="Times New Roman"/>
                <w:b/>
                <w:bCs/>
                <w:kern w:val="0"/>
                <w:sz w:val="24"/>
                <w:szCs w:val="32"/>
                <w:lang w:val="en-US" w:eastAsia="zh-CN"/>
              </w:rPr>
              <w:t>〕</w:t>
            </w:r>
            <w:r>
              <w:rPr>
                <w:rFonts w:hint="default" w:ascii="Times New Roman" w:hAnsi="Times New Roman" w:eastAsia="宋体" w:cs="Times New Roman"/>
                <w:b/>
                <w:bCs/>
                <w:kern w:val="0"/>
                <w:sz w:val="24"/>
                <w:szCs w:val="32"/>
                <w:lang w:val="en-US" w:eastAsia="zh-CN"/>
              </w:rPr>
              <w:t xml:space="preserve">30号 </w:t>
            </w:r>
            <w:r>
              <w:rPr>
                <w:rFonts w:hint="default" w:ascii="Times New Roman" w:hAnsi="Times New Roman" w:eastAsia="宋体" w:cs="Times New Roman"/>
                <w:b/>
                <w:bCs/>
                <w:kern w:val="0"/>
                <w:sz w:val="24"/>
                <w:szCs w:val="32"/>
                <w:lang w:eastAsia="zh-CN"/>
              </w:rPr>
              <w:t>符合性分析</w:t>
            </w:r>
          </w:p>
          <w:tbl>
            <w:tblPr>
              <w:tblStyle w:val="1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53"/>
              <w:gridCol w:w="3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bCs/>
                      <w:kern w:val="0"/>
                      <w:sz w:val="21"/>
                      <w:szCs w:val="21"/>
                      <w:vertAlign w:val="baseline"/>
                      <w:lang w:eastAsia="zh-CN"/>
                    </w:rPr>
                  </w:pPr>
                  <w:r>
                    <w:rPr>
                      <w:rFonts w:hint="default" w:ascii="Times New Roman" w:hAnsi="Times New Roman" w:eastAsia="宋体" w:cs="Times New Roman"/>
                      <w:b/>
                      <w:bCs/>
                      <w:kern w:val="0"/>
                      <w:sz w:val="21"/>
                      <w:szCs w:val="21"/>
                      <w:vertAlign w:val="baseline"/>
                      <w:lang w:eastAsia="zh-CN"/>
                    </w:rPr>
                    <w:t>具体要求</w:t>
                  </w:r>
                </w:p>
              </w:tc>
              <w:tc>
                <w:tcPr>
                  <w:tcW w:w="3284"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bCs/>
                      <w:kern w:val="0"/>
                      <w:sz w:val="21"/>
                      <w:szCs w:val="21"/>
                      <w:vertAlign w:val="baseline"/>
                      <w:lang w:eastAsia="zh-CN"/>
                    </w:rPr>
                  </w:pPr>
                  <w:r>
                    <w:rPr>
                      <w:rFonts w:hint="default" w:ascii="Times New Roman" w:hAnsi="Times New Roman" w:eastAsia="宋体" w:cs="Times New Roman"/>
                      <w:b/>
                      <w:bCs/>
                      <w:kern w:val="0"/>
                      <w:sz w:val="21"/>
                      <w:szCs w:val="21"/>
                      <w:vertAlign w:val="baseline"/>
                      <w:lang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rPr>
                    <w:t>聚焦钢铁、地炼、焦化、煤电、水泥、轮胎、煤炭、化工8个重点行业，加快淘汰低效落后产能。严格执行质量、环保、能耗、安全等法规标准，按照《产业结构调整指导目录》，对“淘汰类”落后生产工艺装备和落后产品全部淘汰出清。各市聚焦“高耗能、高污染、高排放、高风险”等行业，分类组织实施转移、压减、整合、关停任务</w:t>
                  </w:r>
                </w:p>
              </w:tc>
              <w:tc>
                <w:tcPr>
                  <w:tcW w:w="3284"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技改项目</w:t>
                  </w:r>
                  <w:r>
                    <w:rPr>
                      <w:rFonts w:hint="default" w:ascii="Times New Roman" w:hAnsi="Times New Roman" w:eastAsia="宋体" w:cs="Times New Roman"/>
                      <w:kern w:val="0"/>
                      <w:sz w:val="21"/>
                      <w:szCs w:val="21"/>
                      <w:vertAlign w:val="baseline"/>
                      <w:lang w:eastAsia="zh-CN"/>
                    </w:rPr>
                    <w:t>为玻璃制品</w:t>
                  </w:r>
                  <w:r>
                    <w:rPr>
                      <w:rFonts w:hint="eastAsia" w:ascii="Times New Roman" w:hAnsi="Times New Roman" w:eastAsia="宋体" w:cs="Times New Roman"/>
                      <w:kern w:val="0"/>
                      <w:sz w:val="21"/>
                      <w:szCs w:val="21"/>
                      <w:vertAlign w:val="baseline"/>
                      <w:lang w:eastAsia="zh-CN"/>
                    </w:rPr>
                    <w:t>制造</w:t>
                  </w:r>
                  <w:r>
                    <w:rPr>
                      <w:rFonts w:hint="default" w:ascii="Times New Roman" w:hAnsi="Times New Roman" w:eastAsia="宋体" w:cs="Times New Roman"/>
                      <w:kern w:val="0"/>
                      <w:sz w:val="21"/>
                      <w:szCs w:val="21"/>
                      <w:vertAlign w:val="baseline"/>
                      <w:lang w:eastAsia="zh-CN"/>
                    </w:rPr>
                    <w:t>行业，不属于左侧项目；根据</w:t>
                  </w:r>
                  <w:r>
                    <w:rPr>
                      <w:rFonts w:hint="default" w:ascii="Times New Roman" w:hAnsi="Times New Roman" w:eastAsia="宋体" w:cs="Times New Roman"/>
                      <w:kern w:val="0"/>
                      <w:sz w:val="21"/>
                      <w:szCs w:val="21"/>
                      <w:vertAlign w:val="baseline"/>
                    </w:rPr>
                    <w:t>《产业结构调整指导目录》</w:t>
                  </w:r>
                  <w:r>
                    <w:rPr>
                      <w:rFonts w:hint="default" w:ascii="Times New Roman" w:hAnsi="Times New Roman" w:eastAsia="宋体" w:cs="Times New Roman"/>
                      <w:kern w:val="0"/>
                      <w:sz w:val="21"/>
                      <w:szCs w:val="21"/>
                      <w:vertAlign w:val="baseline"/>
                      <w:lang w:eastAsia="zh-CN"/>
                    </w:rPr>
                    <w:t>，不属于</w:t>
                  </w:r>
                  <w:r>
                    <w:rPr>
                      <w:rFonts w:hint="default" w:ascii="Times New Roman" w:hAnsi="Times New Roman" w:eastAsia="宋体" w:cs="Times New Roman"/>
                      <w:kern w:val="0"/>
                      <w:sz w:val="21"/>
                      <w:szCs w:val="21"/>
                      <w:vertAlign w:val="baseline"/>
                    </w:rPr>
                    <w:t>“淘汰类”落后生产工艺装备和落后产品</w:t>
                  </w:r>
                  <w:r>
                    <w:rPr>
                      <w:rFonts w:hint="default" w:ascii="Times New Roman" w:hAnsi="Times New Roman" w:eastAsia="宋体" w:cs="Times New Roman"/>
                      <w:kern w:val="0"/>
                      <w:sz w:val="21"/>
                      <w:szCs w:val="21"/>
                      <w:vertAlign w:val="baseline"/>
                      <w:lang w:eastAsia="zh-CN"/>
                    </w:rPr>
                    <w:t>，不属于</w:t>
                  </w:r>
                  <w:r>
                    <w:rPr>
                      <w:rFonts w:hint="default" w:ascii="Times New Roman" w:hAnsi="Times New Roman" w:eastAsia="宋体" w:cs="Times New Roman"/>
                      <w:kern w:val="0"/>
                      <w:sz w:val="21"/>
                      <w:szCs w:val="21"/>
                      <w:vertAlign w:val="baseline"/>
                    </w:rPr>
                    <w:t>“高耗能、高污染、高排放、高风险”等行业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rPr>
                    <w:t>持续压减煤炭消费总量，“十四五”期间，全省煤炭消费总量下降10%，控制在3.5亿吨左右。(省发展改革委牵头</w:t>
                  </w:r>
                  <w:r>
                    <w:rPr>
                      <w:rFonts w:hint="eastAsia" w:ascii="Times New Roman" w:cs="Times New Roman"/>
                      <w:kern w:val="0"/>
                      <w:sz w:val="21"/>
                      <w:szCs w:val="21"/>
                      <w:vertAlign w:val="baseline"/>
                      <w:lang w:eastAsia="zh-CN"/>
                    </w:rPr>
                    <w:t>）</w:t>
                  </w:r>
                  <w:r>
                    <w:rPr>
                      <w:rFonts w:hint="default" w:ascii="Times New Roman" w:hAnsi="Times New Roman" w:eastAsia="宋体" w:cs="Times New Roman"/>
                      <w:kern w:val="0"/>
                      <w:sz w:val="21"/>
                      <w:szCs w:val="21"/>
                      <w:vertAlign w:val="baseline"/>
                    </w:rPr>
                    <w:t>非化石能源消费比重提高到13%左右。</w:t>
                  </w:r>
                </w:p>
              </w:tc>
              <w:tc>
                <w:tcPr>
                  <w:tcW w:w="3284"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技改项目</w:t>
                  </w:r>
                  <w:r>
                    <w:rPr>
                      <w:rFonts w:hint="default" w:ascii="Times New Roman" w:hAnsi="Times New Roman" w:eastAsia="宋体" w:cs="Times New Roman"/>
                      <w:kern w:val="0"/>
                      <w:sz w:val="21"/>
                      <w:szCs w:val="21"/>
                      <w:vertAlign w:val="baseline"/>
                      <w:lang w:eastAsia="zh-CN"/>
                    </w:rPr>
                    <w:t>不使用煤炭资源，使用液化石油气作为能源。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rPr>
                    <w:t>实施低VOCs含量工业涂料、油墨、胶粘剂、清洗剂等原辅料使用替代。新、改、扩建工业涂装、包装印刷等含VOCs原辅材料使用的项目，原则上使用低(无</w:t>
                  </w:r>
                  <w:r>
                    <w:rPr>
                      <w:rFonts w:hint="eastAsia" w:ascii="Times New Roman" w:cs="Times New Roman"/>
                      <w:kern w:val="0"/>
                      <w:sz w:val="21"/>
                      <w:szCs w:val="21"/>
                      <w:vertAlign w:val="baseline"/>
                      <w:lang w:eastAsia="zh-CN"/>
                    </w:rPr>
                    <w:t>）</w:t>
                  </w:r>
                  <w:r>
                    <w:rPr>
                      <w:rFonts w:hint="default" w:ascii="Times New Roman" w:hAnsi="Times New Roman" w:eastAsia="宋体" w:cs="Times New Roman"/>
                      <w:kern w:val="0"/>
                      <w:sz w:val="21"/>
                      <w:szCs w:val="21"/>
                      <w:vertAlign w:val="baseline"/>
                    </w:rPr>
                    <w:t>VOCs含量产品。</w:t>
                  </w:r>
                </w:p>
              </w:tc>
              <w:tc>
                <w:tcPr>
                  <w:tcW w:w="3284"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lang w:eastAsia="zh-CN"/>
                    </w:rPr>
                    <w:t>技改项目</w:t>
                  </w:r>
                  <w:r>
                    <w:rPr>
                      <w:rFonts w:hint="eastAsia" w:ascii="Times New Roman" w:cs="Times New Roman"/>
                      <w:kern w:val="0"/>
                      <w:sz w:val="21"/>
                      <w:szCs w:val="21"/>
                      <w:lang w:eastAsia="zh-CN"/>
                    </w:rPr>
                    <w:t>不使用此类产品</w:t>
                  </w:r>
                  <w:r>
                    <w:rPr>
                      <w:rFonts w:hint="default" w:ascii="Times New Roman" w:hAnsi="Times New Roman" w:eastAsia="宋体" w:cs="Times New Roman"/>
                      <w:kern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rPr>
                    <w:t>继续推进化工、有色金属、农副食品加工、印染、制革、原料药制造、电镀、冶金等行业退城入园，提高工业园区集聚水平。指导工业园区对污水实施科学收集、分类处理，梯级循环利用工业废水。</w:t>
                  </w:r>
                </w:p>
              </w:tc>
              <w:tc>
                <w:tcPr>
                  <w:tcW w:w="3284"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项目位于工业聚集区，废水主要为生活污水，生活污水经旱厕暂存后用于周边农田农肥。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rPr>
                    <w:t>构建集污水、垃圾、固废、危废、医废处理处置设施和监测监管能力于一体的环境基础设施体系，形成由城市向建制镇和乡村延伸覆盖的环境基础设施网络。到2025年，试点城市建立起“无废城市”建设综合管理制度和监管体系。</w:t>
                  </w:r>
                </w:p>
              </w:tc>
              <w:tc>
                <w:tcPr>
                  <w:tcW w:w="3284"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val="0"/>
                    <w:snapToGrid/>
                    <w:jc w:val="both"/>
                    <w:textAlignment w:val="auto"/>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项目废水、生活垃圾、固废、危废均得到妥善处理。</w:t>
                  </w:r>
                </w:p>
              </w:tc>
            </w:tr>
          </w:tbl>
          <w:p>
            <w:pPr>
              <w:pStyle w:val="24"/>
              <w:rPr>
                <w:rFonts w:hint="default" w:ascii="Times New Roman" w:hAnsi="Times New Roman" w:eastAsia="宋体" w:cs="Times New Roman"/>
                <w:kern w:val="0"/>
              </w:rPr>
            </w:pPr>
          </w:p>
          <w:p>
            <w:pPr>
              <w:spacing w:line="360" w:lineRule="auto"/>
              <w:ind w:firstLine="480" w:firstLineChars="200"/>
              <w:rPr>
                <w:rFonts w:hint="default" w:ascii="Times New Roman" w:hAnsi="Times New Roman" w:eastAsia="宋体" w:cs="Times New Roman"/>
                <w:kern w:val="0"/>
                <w:sz w:val="24"/>
                <w:szCs w:val="32"/>
              </w:rPr>
            </w:pPr>
            <w:r>
              <w:rPr>
                <w:rFonts w:hint="eastAsia" w:cs="Times New Roman"/>
                <w:kern w:val="0"/>
                <w:sz w:val="24"/>
                <w:szCs w:val="32"/>
                <w:lang w:val="en-US" w:eastAsia="zh-CN"/>
              </w:rPr>
              <w:t>6</w:t>
            </w:r>
            <w:r>
              <w:rPr>
                <w:rFonts w:hint="default" w:ascii="Times New Roman" w:hAnsi="Times New Roman" w:eastAsia="宋体" w:cs="Times New Roman"/>
                <w:kern w:val="0"/>
                <w:sz w:val="24"/>
                <w:szCs w:val="32"/>
              </w:rPr>
              <w:t>、与《山东省环境保护条例》（2018.11.30修订）的符合性分析</w:t>
            </w:r>
          </w:p>
          <w:p>
            <w:pPr>
              <w:jc w:val="center"/>
              <w:rPr>
                <w:rFonts w:hint="default" w:ascii="Times New Roman" w:hAnsi="Times New Roman" w:eastAsia="宋体" w:cs="Times New Roman"/>
                <w:kern w:val="0"/>
                <w:sz w:val="21"/>
                <w:szCs w:val="24"/>
              </w:rPr>
            </w:pPr>
            <w:r>
              <w:rPr>
                <w:rFonts w:hint="default" w:ascii="Times New Roman" w:hAnsi="Times New Roman" w:eastAsia="宋体" w:cs="Times New Roman"/>
                <w:b/>
                <w:bCs/>
                <w:kern w:val="0"/>
                <w:sz w:val="24"/>
                <w:szCs w:val="32"/>
              </w:rPr>
              <w:t>表1-</w:t>
            </w:r>
            <w:r>
              <w:rPr>
                <w:rFonts w:hint="eastAsia" w:cs="Times New Roman"/>
                <w:b/>
                <w:bCs/>
                <w:kern w:val="0"/>
                <w:sz w:val="24"/>
                <w:szCs w:val="32"/>
                <w:lang w:val="en-US" w:eastAsia="zh-CN"/>
              </w:rPr>
              <w:t>4</w:t>
            </w:r>
            <w:r>
              <w:rPr>
                <w:rFonts w:hint="default" w:ascii="Times New Roman" w:hAnsi="Times New Roman" w:eastAsia="宋体" w:cs="Times New Roman"/>
                <w:b/>
                <w:bCs/>
                <w:kern w:val="0"/>
                <w:sz w:val="24"/>
                <w:szCs w:val="32"/>
              </w:rPr>
              <w:t xml:space="preserve"> 与《山东省环境保护条例》符合性分析</w:t>
            </w:r>
          </w:p>
          <w:tbl>
            <w:tblPr>
              <w:tblStyle w:val="18"/>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4494"/>
              <w:gridCol w:w="2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471" w:type="pct"/>
                  <w:tcBorders>
                    <w:tl2br w:val="nil"/>
                    <w:tr2bl w:val="nil"/>
                  </w:tcBorders>
                  <w:vAlign w:val="center"/>
                </w:tcPr>
                <w:p>
                  <w:pPr>
                    <w:jc w:val="center"/>
                    <w:rPr>
                      <w:rFonts w:hint="default" w:ascii="Times New Roman" w:hAnsi="Times New Roman" w:eastAsia="宋体" w:cs="Times New Roman"/>
                      <w:kern w:val="0"/>
                    </w:rPr>
                  </w:pPr>
                  <w:r>
                    <w:rPr>
                      <w:rFonts w:hint="default" w:ascii="Times New Roman" w:hAnsi="Times New Roman" w:eastAsia="宋体" w:cs="Times New Roman"/>
                      <w:kern w:val="0"/>
                    </w:rPr>
                    <w:t>分类</w:t>
                  </w:r>
                </w:p>
              </w:tc>
              <w:tc>
                <w:tcPr>
                  <w:tcW w:w="2797" w:type="pct"/>
                  <w:tcBorders>
                    <w:tl2br w:val="nil"/>
                    <w:tr2bl w:val="nil"/>
                  </w:tcBorders>
                  <w:vAlign w:val="center"/>
                </w:tcPr>
                <w:p>
                  <w:pPr>
                    <w:jc w:val="center"/>
                    <w:rPr>
                      <w:rFonts w:hint="default" w:ascii="Times New Roman" w:hAnsi="Times New Roman" w:eastAsia="宋体" w:cs="Times New Roman"/>
                      <w:kern w:val="0"/>
                    </w:rPr>
                  </w:pPr>
                  <w:r>
                    <w:rPr>
                      <w:rFonts w:hint="default" w:ascii="Times New Roman" w:hAnsi="Times New Roman" w:eastAsia="宋体" w:cs="Times New Roman"/>
                      <w:kern w:val="0"/>
                    </w:rPr>
                    <w:t>文件要求</w:t>
                  </w:r>
                </w:p>
              </w:tc>
              <w:tc>
                <w:tcPr>
                  <w:tcW w:w="1730" w:type="pct"/>
                  <w:tcBorders>
                    <w:tl2br w:val="nil"/>
                    <w:tr2bl w:val="nil"/>
                  </w:tcBorders>
                  <w:vAlign w:val="center"/>
                </w:tcPr>
                <w:p>
                  <w:pPr>
                    <w:jc w:val="center"/>
                    <w:rPr>
                      <w:rFonts w:hint="default" w:ascii="Times New Roman" w:hAnsi="Times New Roman" w:eastAsia="宋体" w:cs="Times New Roman"/>
                      <w:kern w:val="0"/>
                    </w:rPr>
                  </w:pPr>
                  <w:r>
                    <w:rPr>
                      <w:rFonts w:hint="default" w:ascii="Times New Roman" w:hAnsi="Times New Roman" w:eastAsia="宋体" w:cs="Times New Roman"/>
                      <w:kern w:val="0"/>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471" w:type="pct"/>
                  <w:vMerge w:val="restart"/>
                  <w:tcBorders>
                    <w:tl2br w:val="nil"/>
                    <w:tr2bl w:val="nil"/>
                  </w:tcBorders>
                  <w:vAlign w:val="center"/>
                </w:tcPr>
                <w:p>
                  <w:pPr>
                    <w:jc w:val="center"/>
                    <w:rPr>
                      <w:rFonts w:hint="default" w:ascii="Times New Roman" w:hAnsi="Times New Roman" w:eastAsia="宋体" w:cs="Times New Roman"/>
                      <w:kern w:val="0"/>
                    </w:rPr>
                  </w:pPr>
                  <w:r>
                    <w:rPr>
                      <w:rFonts w:hint="default" w:ascii="Times New Roman" w:hAnsi="Times New Roman" w:eastAsia="宋体" w:cs="Times New Roman"/>
                      <w:kern w:val="0"/>
                    </w:rPr>
                    <w:t>监督管理</w:t>
                  </w:r>
                </w:p>
              </w:tc>
              <w:tc>
                <w:tcPr>
                  <w:tcW w:w="2797" w:type="pct"/>
                  <w:tcBorders>
                    <w:tl2br w:val="nil"/>
                    <w:tr2bl w:val="nil"/>
                  </w:tcBorders>
                  <w:vAlign w:val="center"/>
                </w:tcPr>
                <w:p>
                  <w:pPr>
                    <w:widowControl/>
                    <w:jc w:val="left"/>
                    <w:rPr>
                      <w:rFonts w:hint="default" w:ascii="Times New Roman" w:hAnsi="Times New Roman" w:eastAsia="宋体" w:cs="Times New Roman"/>
                      <w:kern w:val="0"/>
                    </w:rPr>
                  </w:pPr>
                  <w:r>
                    <w:rPr>
                      <w:rFonts w:hint="default" w:ascii="Times New Roman" w:hAnsi="Times New Roman" w:eastAsia="宋体" w:cs="Times New Roman"/>
                      <w:kern w:val="0"/>
                    </w:rPr>
                    <w:t>禁止建设不符合国家和省产业政策的小型造纸、制革、印染、染料、炼焦、炼硫、炼砷、炼汞、炼油、电镀、农药、石棉、水泥、玻璃、钢铁、火电以及其他严重污染环境的生产项目。已经建设的，由所在地的县级以上人民政府责令拆除或者关闭。</w:t>
                  </w:r>
                </w:p>
              </w:tc>
              <w:tc>
                <w:tcPr>
                  <w:tcW w:w="1730" w:type="pct"/>
                  <w:tcBorders>
                    <w:tl2br w:val="nil"/>
                    <w:tr2bl w:val="nil"/>
                  </w:tcBorders>
                  <w:vAlign w:val="center"/>
                </w:tcPr>
                <w:p>
                  <w:pPr>
                    <w:rPr>
                      <w:rFonts w:hint="default" w:ascii="Times New Roman" w:hAnsi="Times New Roman" w:eastAsia="宋体" w:cs="Times New Roman"/>
                      <w:kern w:val="0"/>
                    </w:rPr>
                  </w:pPr>
                  <w:r>
                    <w:rPr>
                      <w:rFonts w:hint="eastAsia" w:ascii="Times New Roman" w:hAnsi="Times New Roman" w:eastAsia="宋体" w:cs="Times New Roman"/>
                      <w:kern w:val="0"/>
                      <w:lang w:eastAsia="zh-CN"/>
                    </w:rPr>
                    <w:t>技改项目</w:t>
                  </w:r>
                  <w:r>
                    <w:rPr>
                      <w:rFonts w:hint="default" w:ascii="Times New Roman" w:hAnsi="Times New Roman" w:eastAsia="宋体" w:cs="Times New Roman"/>
                      <w:kern w:val="0"/>
                    </w:rPr>
                    <w:t>不属于文件要求禁止建设的行业；符合。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471" w:type="pct"/>
                  <w:vMerge w:val="continue"/>
                  <w:tcBorders>
                    <w:tl2br w:val="nil"/>
                    <w:tr2bl w:val="nil"/>
                  </w:tcBorders>
                  <w:vAlign w:val="center"/>
                </w:tcPr>
                <w:p>
                  <w:pPr>
                    <w:jc w:val="center"/>
                    <w:rPr>
                      <w:rFonts w:hint="default" w:ascii="Times New Roman" w:hAnsi="Times New Roman" w:eastAsia="宋体" w:cs="Times New Roman"/>
                      <w:kern w:val="0"/>
                    </w:rPr>
                  </w:pPr>
                </w:p>
              </w:tc>
              <w:tc>
                <w:tcPr>
                  <w:tcW w:w="2797" w:type="pct"/>
                  <w:tcBorders>
                    <w:tl2br w:val="nil"/>
                    <w:tr2bl w:val="nil"/>
                  </w:tcBorders>
                  <w:vAlign w:val="center"/>
                </w:tcPr>
                <w:p>
                  <w:pPr>
                    <w:widowControl/>
                    <w:jc w:val="left"/>
                    <w:rPr>
                      <w:rFonts w:hint="default" w:ascii="Times New Roman" w:hAnsi="Times New Roman" w:eastAsia="宋体" w:cs="Times New Roman"/>
                      <w:kern w:val="0"/>
                    </w:rPr>
                  </w:pPr>
                  <w:r>
                    <w:rPr>
                      <w:rFonts w:hint="default" w:ascii="Times New Roman" w:hAnsi="Times New Roman" w:eastAsia="宋体" w:cs="Times New Roman"/>
                      <w:kern w:val="0"/>
                    </w:rPr>
                    <w:t>新建、改建、扩建建设项目，应当依法进行环境影响评价。</w:t>
                  </w:r>
                </w:p>
              </w:tc>
              <w:tc>
                <w:tcPr>
                  <w:tcW w:w="1730" w:type="pct"/>
                  <w:tcBorders>
                    <w:tl2br w:val="nil"/>
                    <w:tr2bl w:val="nil"/>
                  </w:tcBorders>
                  <w:vAlign w:val="center"/>
                </w:tcPr>
                <w:p>
                  <w:pPr>
                    <w:rPr>
                      <w:rFonts w:hint="default" w:ascii="Times New Roman" w:hAnsi="Times New Roman" w:eastAsia="宋体" w:cs="Times New Roman"/>
                      <w:kern w:val="0"/>
                    </w:rPr>
                  </w:pPr>
                  <w:r>
                    <w:rPr>
                      <w:rFonts w:hint="default" w:ascii="Times New Roman" w:hAnsi="Times New Roman" w:eastAsia="宋体" w:cs="Times New Roman"/>
                      <w:kern w:val="0"/>
                    </w:rPr>
                    <w:t>项目按要求进行环境影响评价；符合。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471" w:type="pct"/>
                  <w:vMerge w:val="restart"/>
                  <w:tcBorders>
                    <w:tl2br w:val="nil"/>
                    <w:tr2bl w:val="nil"/>
                  </w:tcBorders>
                  <w:vAlign w:val="center"/>
                </w:tcPr>
                <w:p>
                  <w:pPr>
                    <w:jc w:val="center"/>
                    <w:rPr>
                      <w:rFonts w:hint="default" w:ascii="Times New Roman" w:hAnsi="Times New Roman" w:eastAsia="宋体" w:cs="Times New Roman"/>
                      <w:kern w:val="0"/>
                    </w:rPr>
                  </w:pPr>
                  <w:r>
                    <w:rPr>
                      <w:rFonts w:hint="default" w:ascii="Times New Roman" w:hAnsi="Times New Roman" w:eastAsia="宋体" w:cs="Times New Roman"/>
                      <w:kern w:val="0"/>
                    </w:rPr>
                    <w:t>防治污染和其他公害</w:t>
                  </w:r>
                </w:p>
              </w:tc>
              <w:tc>
                <w:tcPr>
                  <w:tcW w:w="2797" w:type="pct"/>
                  <w:tcBorders>
                    <w:tl2br w:val="nil"/>
                    <w:tr2bl w:val="nil"/>
                  </w:tcBorders>
                  <w:vAlign w:val="center"/>
                </w:tcPr>
                <w:p>
                  <w:pPr>
                    <w:rPr>
                      <w:rFonts w:hint="default" w:ascii="Times New Roman" w:hAnsi="Times New Roman" w:eastAsia="宋体" w:cs="Times New Roman"/>
                      <w:kern w:val="0"/>
                    </w:rPr>
                  </w:pPr>
                  <w:r>
                    <w:rPr>
                      <w:rFonts w:hint="default" w:ascii="Times New Roman" w:hAnsi="Times New Roman" w:eastAsia="宋体" w:cs="Times New Roman"/>
                      <w:kern w:val="0"/>
                    </w:rPr>
                    <w:t>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1730" w:type="pct"/>
                  <w:tcBorders>
                    <w:tl2br w:val="nil"/>
                    <w:tr2bl w:val="nil"/>
                  </w:tcBorders>
                  <w:vAlign w:val="center"/>
                </w:tcPr>
                <w:p>
                  <w:pPr>
                    <w:rPr>
                      <w:rFonts w:hint="default" w:ascii="Times New Roman" w:hAnsi="Times New Roman" w:eastAsia="宋体" w:cs="Times New Roman"/>
                      <w:kern w:val="0"/>
                    </w:rPr>
                  </w:pPr>
                  <w:r>
                    <w:rPr>
                      <w:rFonts w:hint="default" w:ascii="Times New Roman" w:hAnsi="Times New Roman" w:eastAsia="宋体" w:cs="Times New Roman"/>
                      <w:kern w:val="0"/>
                    </w:rPr>
                    <w:t>技改项目位于萌水镇萌二村，所在地属于建设用地；符合。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87" w:hRule="atLeast"/>
              </w:trPr>
              <w:tc>
                <w:tcPr>
                  <w:tcW w:w="471" w:type="pct"/>
                  <w:vMerge w:val="continue"/>
                  <w:tcBorders>
                    <w:tl2br w:val="nil"/>
                    <w:tr2bl w:val="nil"/>
                  </w:tcBorders>
                  <w:vAlign w:val="center"/>
                </w:tcPr>
                <w:p>
                  <w:pPr>
                    <w:rPr>
                      <w:rFonts w:hint="default" w:ascii="Times New Roman" w:hAnsi="Times New Roman" w:eastAsia="宋体" w:cs="Times New Roman"/>
                      <w:kern w:val="0"/>
                    </w:rPr>
                  </w:pPr>
                </w:p>
              </w:tc>
              <w:tc>
                <w:tcPr>
                  <w:tcW w:w="2797" w:type="pct"/>
                  <w:tcBorders>
                    <w:tl2br w:val="nil"/>
                    <w:tr2bl w:val="nil"/>
                  </w:tcBorders>
                  <w:vAlign w:val="center"/>
                </w:tcPr>
                <w:p>
                  <w:pPr>
                    <w:rPr>
                      <w:rFonts w:hint="default" w:ascii="Times New Roman" w:hAnsi="Times New Roman" w:eastAsia="宋体" w:cs="Times New Roman"/>
                      <w:kern w:val="0"/>
                    </w:rPr>
                  </w:pPr>
                  <w:r>
                    <w:rPr>
                      <w:rFonts w:hint="default" w:ascii="Times New Roman" w:hAnsi="Times New Roman" w:eastAsia="宋体" w:cs="Times New Roman"/>
                      <w:kern w:val="0"/>
                    </w:rPr>
                    <w:t>排污单位应当采取措施，防治在生产建设或者其他活动中产生的废气、废水、废渣、医疗废物、颗粒物、恶臭气体、放射性物质以及噪声、振动、光辐射、电磁辐射等对环境的污染和危害，其污染排放不得超过排放标准和重点污染物排放总量控制指标。</w:t>
                  </w:r>
                </w:p>
              </w:tc>
              <w:tc>
                <w:tcPr>
                  <w:tcW w:w="1730" w:type="pct"/>
                  <w:tcBorders>
                    <w:tl2br w:val="nil"/>
                    <w:tr2bl w:val="nil"/>
                  </w:tcBorders>
                  <w:vAlign w:val="center"/>
                </w:tcPr>
                <w:p>
                  <w:pPr>
                    <w:rPr>
                      <w:rFonts w:hint="default" w:ascii="Times New Roman" w:hAnsi="Times New Roman" w:eastAsia="宋体" w:cs="Times New Roman"/>
                      <w:kern w:val="0"/>
                    </w:rPr>
                  </w:pPr>
                  <w:r>
                    <w:rPr>
                      <w:rFonts w:hint="default" w:ascii="Times New Roman" w:hAnsi="Times New Roman" w:eastAsia="宋体" w:cs="Times New Roman"/>
                      <w:kern w:val="0"/>
                    </w:rPr>
                    <w:t>技改项目污染物达标排放，能够满足总量控制要求；符合。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71" w:type="pct"/>
                  <w:vMerge w:val="continue"/>
                  <w:tcBorders>
                    <w:tl2br w:val="nil"/>
                    <w:tr2bl w:val="nil"/>
                  </w:tcBorders>
                  <w:vAlign w:val="center"/>
                </w:tcPr>
                <w:p>
                  <w:pPr>
                    <w:rPr>
                      <w:rFonts w:hint="default" w:ascii="Times New Roman" w:hAnsi="Times New Roman" w:eastAsia="宋体" w:cs="Times New Roman"/>
                      <w:kern w:val="0"/>
                    </w:rPr>
                  </w:pPr>
                </w:p>
              </w:tc>
              <w:tc>
                <w:tcPr>
                  <w:tcW w:w="2797" w:type="pct"/>
                  <w:tcBorders>
                    <w:tl2br w:val="nil"/>
                    <w:tr2bl w:val="nil"/>
                  </w:tcBorders>
                  <w:vAlign w:val="center"/>
                </w:tcPr>
                <w:p>
                  <w:pPr>
                    <w:widowControl/>
                    <w:jc w:val="left"/>
                    <w:rPr>
                      <w:rFonts w:hint="default" w:ascii="Times New Roman" w:hAnsi="Times New Roman" w:eastAsia="宋体" w:cs="Times New Roman"/>
                      <w:kern w:val="0"/>
                    </w:rPr>
                  </w:pPr>
                  <w:r>
                    <w:rPr>
                      <w:rFonts w:hint="default" w:ascii="Times New Roman" w:hAnsi="Times New Roman" w:eastAsia="宋体" w:cs="Times New Roman"/>
                      <w:kern w:val="0"/>
                    </w:rPr>
                    <w:t>排污单位应当按照国家和省有关规定建立环境管理台账，记录污染治理设施运行管理、危险废物产生与处置情况、监测记录以及其他环境管理等信息，并对台账的真实性和完整性负责。台账的保存期限不得少于三年，法律、法规另有规定的除外。</w:t>
                  </w:r>
                </w:p>
              </w:tc>
              <w:tc>
                <w:tcPr>
                  <w:tcW w:w="1730" w:type="pct"/>
                  <w:tcBorders>
                    <w:tl2br w:val="nil"/>
                    <w:tr2bl w:val="nil"/>
                  </w:tcBorders>
                  <w:vAlign w:val="center"/>
                </w:tcPr>
                <w:p>
                  <w:pPr>
                    <w:widowControl/>
                    <w:jc w:val="left"/>
                    <w:rPr>
                      <w:rFonts w:hint="default" w:ascii="Times New Roman" w:hAnsi="Times New Roman" w:eastAsia="宋体" w:cs="Times New Roman"/>
                      <w:kern w:val="0"/>
                    </w:rPr>
                  </w:pPr>
                  <w:r>
                    <w:rPr>
                      <w:rFonts w:hint="default" w:ascii="Times New Roman" w:hAnsi="Times New Roman" w:eastAsia="宋体" w:cs="Times New Roman"/>
                      <w:kern w:val="0"/>
                    </w:rPr>
                    <w:t>本次环评要求企业按照国家和省有关规定建立环境管理台账，记录污染治理设施运行管理、危险废物产生与处置情况、监测记录以及其他环境管理等信息。台账的保存期限不得少于三年，法律、法规另有规定的除外；符合。</w:t>
                  </w:r>
                </w:p>
              </w:tc>
            </w:tr>
          </w:tbl>
          <w:p>
            <w:pPr>
              <w:spacing w:line="360" w:lineRule="auto"/>
              <w:ind w:firstLine="480" w:firstLineChars="200"/>
              <w:rPr>
                <w:rFonts w:hint="default" w:ascii="Times New Roman" w:hAnsi="Times New Roman" w:eastAsia="宋体" w:cs="Times New Roman"/>
                <w:kern w:val="0"/>
                <w:sz w:val="24"/>
                <w:szCs w:val="32"/>
              </w:rPr>
            </w:pPr>
            <w:r>
              <w:rPr>
                <w:rFonts w:hint="eastAsia" w:cs="Times New Roman"/>
                <w:kern w:val="0"/>
                <w:sz w:val="24"/>
                <w:szCs w:val="32"/>
                <w:lang w:val="en-US" w:eastAsia="zh-CN"/>
              </w:rPr>
              <w:t>7</w:t>
            </w:r>
            <w:r>
              <w:rPr>
                <w:rFonts w:hint="default" w:ascii="Times New Roman" w:hAnsi="Times New Roman" w:eastAsia="宋体" w:cs="Times New Roman"/>
                <w:kern w:val="0"/>
                <w:sz w:val="24"/>
                <w:szCs w:val="32"/>
              </w:rPr>
              <w:t>、与《山东省新一轮“四减四增”三年行动方案（2021—2023年）》的符合性分析</w:t>
            </w:r>
          </w:p>
          <w:p>
            <w:pPr>
              <w:pStyle w:val="10"/>
              <w:spacing w:line="240" w:lineRule="auto"/>
              <w:ind w:firstLine="0"/>
              <w:jc w:val="center"/>
              <w:rPr>
                <w:rFonts w:hint="default" w:ascii="Times New Roman" w:hAnsi="Times New Roman" w:eastAsia="宋体" w:cs="Times New Roman"/>
                <w:kern w:val="0"/>
                <w:sz w:val="24"/>
                <w:szCs w:val="22"/>
              </w:rPr>
            </w:pPr>
            <w:r>
              <w:rPr>
                <w:rFonts w:hint="default" w:ascii="Times New Roman" w:hAnsi="Times New Roman" w:eastAsia="宋体" w:cs="Times New Roman"/>
                <w:b/>
                <w:bCs/>
                <w:kern w:val="0"/>
                <w:sz w:val="24"/>
                <w:szCs w:val="22"/>
              </w:rPr>
              <w:t>表1-</w:t>
            </w:r>
            <w:r>
              <w:rPr>
                <w:rFonts w:hint="eastAsia" w:cs="Times New Roman"/>
                <w:b/>
                <w:bCs/>
                <w:kern w:val="0"/>
                <w:sz w:val="24"/>
                <w:szCs w:val="22"/>
                <w:lang w:val="en-US" w:eastAsia="zh-CN"/>
              </w:rPr>
              <w:t>5</w:t>
            </w:r>
            <w:r>
              <w:rPr>
                <w:rFonts w:hint="default" w:ascii="Times New Roman" w:hAnsi="Times New Roman" w:eastAsia="宋体" w:cs="Times New Roman"/>
                <w:b/>
                <w:bCs/>
                <w:kern w:val="0"/>
                <w:sz w:val="24"/>
                <w:szCs w:val="22"/>
              </w:rPr>
              <w:t>与《山东省新一轮“四减四增”三年行动方案（2021—2023年）》的符合性分析</w:t>
            </w:r>
          </w:p>
          <w:tbl>
            <w:tblPr>
              <w:tblStyle w:val="1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87"/>
              <w:gridCol w:w="24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79" w:type="pct"/>
                  <w:tcBorders>
                    <w:tl2br w:val="nil"/>
                    <w:tr2bl w:val="nil"/>
                  </w:tcBorders>
                  <w:vAlign w:val="center"/>
                </w:tcPr>
                <w:p>
                  <w:pPr>
                    <w:pStyle w:val="14"/>
                    <w:snapToGrid w:val="0"/>
                    <w:spacing w:line="240" w:lineRule="auto"/>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文件要求</w:t>
                  </w:r>
                </w:p>
              </w:tc>
              <w:tc>
                <w:tcPr>
                  <w:tcW w:w="1520" w:type="pct"/>
                  <w:tcBorders>
                    <w:tl2br w:val="nil"/>
                    <w:tr2bl w:val="nil"/>
                  </w:tcBorders>
                  <w:vAlign w:val="center"/>
                </w:tcPr>
                <w:p>
                  <w:pPr>
                    <w:pStyle w:val="14"/>
                    <w:snapToGrid w:val="0"/>
                    <w:spacing w:line="240" w:lineRule="auto"/>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79" w:type="pct"/>
                  <w:tcBorders>
                    <w:tl2br w:val="nil"/>
                    <w:tr2bl w:val="nil"/>
                  </w:tcBorders>
                  <w:vAlign w:val="center"/>
                </w:tcPr>
                <w:p>
                  <w:pPr>
                    <w:pStyle w:val="14"/>
                    <w:snapToGrid w:val="0"/>
                    <w:spacing w:line="240" w:lineRule="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在深入调整产业结构方面，坚决淘汰低效落后产能，严控重点行业新增产能，推动绿色循环低碳改造，加快培育壮大新动能。</w:t>
                  </w:r>
                </w:p>
              </w:tc>
              <w:tc>
                <w:tcPr>
                  <w:tcW w:w="1520" w:type="pct"/>
                  <w:tcBorders>
                    <w:tl2br w:val="nil"/>
                    <w:tr2bl w:val="nil"/>
                  </w:tcBorders>
                  <w:vAlign w:val="center"/>
                </w:tcPr>
                <w:p>
                  <w:pPr>
                    <w:pStyle w:val="14"/>
                    <w:snapToGrid w:val="0"/>
                    <w:spacing w:line="240" w:lineRule="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项目不属于低效落后产能项目，不使用高VOCs原辅材料。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79" w:type="pct"/>
                  <w:tcBorders>
                    <w:tl2br w:val="nil"/>
                    <w:tr2bl w:val="nil"/>
                  </w:tcBorders>
                  <w:vAlign w:val="center"/>
                </w:tcPr>
                <w:p>
                  <w:pPr>
                    <w:pStyle w:val="14"/>
                    <w:snapToGrid w:val="0"/>
                    <w:spacing w:line="240" w:lineRule="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在深入调整能源结构方面，严控化石能源消费，持续压减煤炭使用，提高能源利用效率，壮大清洁能源规模。</w:t>
                  </w:r>
                </w:p>
              </w:tc>
              <w:tc>
                <w:tcPr>
                  <w:tcW w:w="1520" w:type="pct"/>
                  <w:tcBorders>
                    <w:tl2br w:val="nil"/>
                    <w:tr2bl w:val="nil"/>
                  </w:tcBorders>
                  <w:vAlign w:val="center"/>
                </w:tcPr>
                <w:p>
                  <w:pPr>
                    <w:pStyle w:val="14"/>
                    <w:snapToGrid w:val="0"/>
                    <w:spacing w:line="240" w:lineRule="auto"/>
                    <w:rPr>
                      <w:rFonts w:hint="default" w:ascii="Times New Roman" w:hAnsi="Times New Roman" w:eastAsia="宋体" w:cs="Times New Roman"/>
                      <w:color w:val="auto"/>
                      <w:kern w:val="0"/>
                    </w:rPr>
                  </w:pPr>
                  <w:r>
                    <w:rPr>
                      <w:rFonts w:hint="eastAsia" w:ascii="Times New Roman" w:hAnsi="Times New Roman" w:eastAsia="宋体" w:cs="Times New Roman"/>
                      <w:color w:val="auto"/>
                      <w:kern w:val="0"/>
                      <w:lang w:eastAsia="zh-CN"/>
                    </w:rPr>
                    <w:t>技改项目</w:t>
                  </w:r>
                  <w:r>
                    <w:rPr>
                      <w:rFonts w:hint="default" w:ascii="Times New Roman" w:hAnsi="Times New Roman" w:eastAsia="宋体" w:cs="Times New Roman"/>
                      <w:color w:val="auto"/>
                      <w:kern w:val="0"/>
                    </w:rPr>
                    <w:t>使用液化石油气为燃料，不使用煤炭资源。</w:t>
                  </w:r>
                </w:p>
              </w:tc>
            </w:tr>
          </w:tbl>
          <w:p>
            <w:pPr>
              <w:pStyle w:val="10"/>
              <w:snapToGrid w:val="0"/>
              <w:spacing w:line="360" w:lineRule="auto"/>
              <w:ind w:firstLine="480" w:firstLineChars="200"/>
              <w:rPr>
                <w:rFonts w:hint="default" w:ascii="Times New Roman" w:hAnsi="Times New Roman" w:eastAsia="宋体" w:cs="Times New Roman"/>
                <w:kern w:val="0"/>
                <w:sz w:val="24"/>
                <w:szCs w:val="24"/>
              </w:rPr>
            </w:pPr>
            <w:r>
              <w:rPr>
                <w:rFonts w:hint="eastAsia" w:cs="Times New Roman"/>
                <w:kern w:val="0"/>
                <w:sz w:val="24"/>
                <w:szCs w:val="24"/>
                <w:lang w:val="en-US" w:eastAsia="zh-CN"/>
              </w:rPr>
              <w:t>8</w:t>
            </w:r>
            <w:r>
              <w:rPr>
                <w:rFonts w:hint="default" w:ascii="Times New Roman" w:hAnsi="Times New Roman" w:eastAsia="宋体" w:cs="Times New Roman"/>
                <w:kern w:val="0"/>
                <w:sz w:val="24"/>
                <w:szCs w:val="24"/>
              </w:rPr>
              <w:t>、与《大气污染防治行动计划》（国发〔2013〕37号）的符合性分析</w:t>
            </w:r>
          </w:p>
          <w:p>
            <w:pPr>
              <w:adjustRightInd w:val="0"/>
              <w:snapToGrid w:val="0"/>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表1-</w:t>
            </w:r>
            <w:r>
              <w:rPr>
                <w:rFonts w:hint="eastAsia" w:cs="Times New Roman"/>
                <w:b/>
                <w:kern w:val="0"/>
                <w:sz w:val="24"/>
                <w:szCs w:val="24"/>
                <w:lang w:val="en-US" w:eastAsia="zh-CN"/>
              </w:rPr>
              <w:t>6</w:t>
            </w:r>
            <w:r>
              <w:rPr>
                <w:rFonts w:hint="default" w:ascii="Times New Roman" w:hAnsi="Times New Roman" w:eastAsia="宋体" w:cs="Times New Roman"/>
                <w:b/>
                <w:kern w:val="0"/>
                <w:sz w:val="24"/>
                <w:szCs w:val="24"/>
              </w:rPr>
              <w:t xml:space="preserve"> 与《大气污染防治行动计划》符合性分析</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41"/>
              <w:gridCol w:w="2259"/>
              <w:gridCol w:w="8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75" w:type="pct"/>
                  <w:tcBorders>
                    <w:tl2br w:val="nil"/>
                    <w:tr2bl w:val="nil"/>
                  </w:tcBorders>
                  <w:vAlign w:val="center"/>
                </w:tcPr>
                <w:p>
                  <w:pPr>
                    <w:pStyle w:val="24"/>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《大气污染防治行动计划》相关规定</w:t>
                  </w:r>
                </w:p>
              </w:tc>
              <w:tc>
                <w:tcPr>
                  <w:tcW w:w="1406" w:type="pct"/>
                  <w:tcBorders>
                    <w:tl2br w:val="nil"/>
                    <w:tr2bl w:val="nil"/>
                  </w:tcBorders>
                  <w:vAlign w:val="center"/>
                </w:tcPr>
                <w:p>
                  <w:pPr>
                    <w:pStyle w:val="24"/>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评价项目情况</w:t>
                  </w:r>
                </w:p>
              </w:tc>
              <w:tc>
                <w:tcPr>
                  <w:tcW w:w="518" w:type="pct"/>
                  <w:tcBorders>
                    <w:tl2br w:val="nil"/>
                    <w:tr2bl w:val="nil"/>
                  </w:tcBorders>
                  <w:vAlign w:val="center"/>
                </w:tcPr>
                <w:p>
                  <w:pPr>
                    <w:pStyle w:val="24"/>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75" w:type="pct"/>
                  <w:tcBorders>
                    <w:tl2br w:val="nil"/>
                    <w:tr2bl w:val="nil"/>
                  </w:tcBorders>
                  <w:vAlign w:val="center"/>
                </w:tcPr>
                <w:p>
                  <w:pPr>
                    <w:pStyle w:val="24"/>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全面整治燃煤小锅炉。加快推进集中供热、“煤改气”、“煤改电”工程建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tc>
              <w:tc>
                <w:tcPr>
                  <w:tcW w:w="1406" w:type="pct"/>
                  <w:tcBorders>
                    <w:tl2br w:val="nil"/>
                    <w:tr2bl w:val="nil"/>
                  </w:tcBorders>
                  <w:vAlign w:val="center"/>
                </w:tcPr>
                <w:p>
                  <w:pPr>
                    <w:pStyle w:val="24"/>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项目不设燃煤锅炉，使用液化石油气作为燃料</w:t>
                  </w:r>
                </w:p>
              </w:tc>
              <w:tc>
                <w:tcPr>
                  <w:tcW w:w="518" w:type="pct"/>
                  <w:tcBorders>
                    <w:tl2br w:val="nil"/>
                    <w:tr2bl w:val="nil"/>
                  </w:tcBorders>
                  <w:vAlign w:val="center"/>
                </w:tcPr>
                <w:p>
                  <w:pPr>
                    <w:pStyle w:val="24"/>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3075" w:type="pct"/>
                  <w:tcBorders>
                    <w:tl2br w:val="nil"/>
                    <w:tr2bl w:val="nil"/>
                  </w:tcBorders>
                  <w:vAlign w:val="center"/>
                </w:tcPr>
                <w:p>
                  <w:pPr>
                    <w:pStyle w:val="24"/>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推进挥发性有机物污染治理。在石化、有机化工、表面涂装、包装喷漆等行业实施挥发性有机物综合整治，在石化行业开展“泄漏检测与修复”技术改造。</w:t>
                  </w:r>
                </w:p>
              </w:tc>
              <w:tc>
                <w:tcPr>
                  <w:tcW w:w="1406" w:type="pct"/>
                  <w:tcBorders>
                    <w:tl2br w:val="nil"/>
                    <w:tr2bl w:val="nil"/>
                  </w:tcBorders>
                  <w:vAlign w:val="center"/>
                </w:tcPr>
                <w:p>
                  <w:pPr>
                    <w:pStyle w:val="24"/>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项目</w:t>
                  </w:r>
                  <w:r>
                    <w:rPr>
                      <w:rFonts w:hint="eastAsia" w:ascii="Times New Roman" w:cs="Times New Roman"/>
                      <w:color w:val="auto"/>
                      <w:kern w:val="0"/>
                      <w:sz w:val="21"/>
                      <w:szCs w:val="21"/>
                      <w:lang w:eastAsia="zh-CN"/>
                    </w:rPr>
                    <w:t>取消贴烤花工序，</w:t>
                  </w:r>
                  <w:r>
                    <w:rPr>
                      <w:rFonts w:hint="eastAsia" w:ascii="Times New Roman" w:cs="Times New Roman"/>
                      <w:color w:val="auto"/>
                      <w:kern w:val="0"/>
                      <w:sz w:val="21"/>
                      <w:szCs w:val="21"/>
                      <w:lang w:val="en-US" w:eastAsia="zh-CN"/>
                    </w:rPr>
                    <w:t>VOCs不再产生</w:t>
                  </w:r>
                </w:p>
              </w:tc>
              <w:tc>
                <w:tcPr>
                  <w:tcW w:w="518" w:type="pct"/>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075" w:type="pct"/>
                  <w:tcBorders>
                    <w:tl2br w:val="nil"/>
                    <w:tr2bl w:val="nil"/>
                  </w:tcBorders>
                  <w:vAlign w:val="center"/>
                </w:tcPr>
                <w:p>
                  <w:pPr>
                    <w:pStyle w:val="24"/>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部分工业行业淘汰落后生产工艺装备和产品指导目录（2010年本）》、《产业结构调整指导目录（2019年本）》（中华人民共和国国家发展和改革委员会令第29号）的要求，采取经济、技术、法律和必要的行政手段，提前一年完成钢铁、水泥、电解铝、平板玻璃等21个重点行业的“十二五”落后产能淘汰任务。2015年再淘汰炼铁1500万吨、炼钢1500万吨、水泥（熟料及粉磨能力）1亿吨、平板玻璃2000万重量箱。</w:t>
                  </w:r>
                </w:p>
              </w:tc>
              <w:tc>
                <w:tcPr>
                  <w:tcW w:w="1406" w:type="pct"/>
                  <w:tcBorders>
                    <w:tl2br w:val="nil"/>
                    <w:tr2bl w:val="nil"/>
                  </w:tcBorders>
                  <w:vAlign w:val="center"/>
                </w:tcPr>
                <w:p>
                  <w:pPr>
                    <w:pStyle w:val="24"/>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评价项目不在上述淘汰项目之列</w:t>
                  </w:r>
                </w:p>
              </w:tc>
              <w:tc>
                <w:tcPr>
                  <w:tcW w:w="518" w:type="pct"/>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符合</w:t>
                  </w:r>
                </w:p>
              </w:tc>
            </w:tr>
          </w:tbl>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kern w:val="0"/>
                <w:szCs w:val="21"/>
              </w:rPr>
            </w:pPr>
            <w:r>
              <w:rPr>
                <w:rFonts w:hint="eastAsia"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与《京津冀及周边地区落实大气污染防治行动计划实施细则》的符合性分析</w:t>
            </w:r>
          </w:p>
          <w:p>
            <w:pPr>
              <w:pStyle w:val="2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表1-</w:t>
            </w:r>
            <w:r>
              <w:rPr>
                <w:rFonts w:hint="eastAsia" w:ascii="Times New Roman" w:cs="Times New Roman"/>
                <w:b/>
                <w:bCs/>
                <w:color w:val="auto"/>
                <w:kern w:val="0"/>
                <w:sz w:val="24"/>
                <w:szCs w:val="24"/>
                <w:lang w:val="en-US" w:eastAsia="zh-CN"/>
              </w:rPr>
              <w:t>7</w:t>
            </w:r>
            <w:r>
              <w:rPr>
                <w:rFonts w:hint="default" w:ascii="Times New Roman" w:hAnsi="Times New Roman" w:eastAsia="宋体" w:cs="Times New Roman"/>
                <w:b/>
                <w:bCs/>
                <w:color w:val="auto"/>
                <w:kern w:val="0"/>
                <w:sz w:val="24"/>
                <w:szCs w:val="24"/>
              </w:rPr>
              <w:t xml:space="preserve"> 与《京津冀及周边地区落实大气污染防治行动计划实施细则》符合性</w:t>
            </w:r>
          </w:p>
          <w:tbl>
            <w:tblPr>
              <w:tblStyle w:val="18"/>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67"/>
              <w:gridCol w:w="2897"/>
              <w:gridCol w:w="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004" w:type="dxa"/>
                  <w:tcBorders>
                    <w:tl2br w:val="nil"/>
                    <w:tr2bl w:val="nil"/>
                  </w:tcBorders>
                  <w:vAlign w:val="center"/>
                </w:tcPr>
                <w:p>
                  <w:pPr>
                    <w:pStyle w:val="24"/>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《京津冀及周边地区落实大气污染防治行动计划实施细则》相关规定</w:t>
                  </w:r>
                </w:p>
              </w:tc>
              <w:tc>
                <w:tcPr>
                  <w:tcW w:w="3265" w:type="dxa"/>
                  <w:tcBorders>
                    <w:tl2br w:val="nil"/>
                    <w:tr2bl w:val="nil"/>
                  </w:tcBorders>
                  <w:vAlign w:val="center"/>
                </w:tcPr>
                <w:p>
                  <w:pPr>
                    <w:pStyle w:val="24"/>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项目情况</w:t>
                  </w:r>
                </w:p>
              </w:tc>
              <w:tc>
                <w:tcPr>
                  <w:tcW w:w="715" w:type="dxa"/>
                  <w:tcBorders>
                    <w:tl2br w:val="nil"/>
                    <w:tr2bl w:val="nil"/>
                  </w:tcBorders>
                  <w:vAlign w:val="center"/>
                </w:tcPr>
                <w:p>
                  <w:pPr>
                    <w:pStyle w:val="24"/>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4" w:type="dxa"/>
                  <w:tcBorders>
                    <w:tl2br w:val="nil"/>
                    <w:tr2bl w:val="nil"/>
                  </w:tcBorders>
                  <w:vAlign w:val="center"/>
                </w:tcPr>
                <w:p>
                  <w:pPr>
                    <w:pStyle w:val="24"/>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京津冀及周边地区包括北京市、天津市、河北省、山西省、内蒙古自治区、山东省</w:t>
                  </w:r>
                </w:p>
              </w:tc>
              <w:tc>
                <w:tcPr>
                  <w:tcW w:w="3265" w:type="dxa"/>
                  <w:tcBorders>
                    <w:tl2br w:val="nil"/>
                    <w:tr2bl w:val="nil"/>
                  </w:tcBorders>
                  <w:vAlign w:val="center"/>
                </w:tcPr>
                <w:p>
                  <w:pPr>
                    <w:pStyle w:val="24"/>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项目位于山东省</w:t>
                  </w:r>
                </w:p>
              </w:tc>
              <w:tc>
                <w:tcPr>
                  <w:tcW w:w="715" w:type="dxa"/>
                  <w:tcBorders>
                    <w:tl2br w:val="nil"/>
                    <w:tr2bl w:val="nil"/>
                  </w:tcBorders>
                  <w:vAlign w:val="center"/>
                </w:tcPr>
                <w:p>
                  <w:pPr>
                    <w:pStyle w:val="24"/>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4" w:type="dxa"/>
                  <w:tcBorders>
                    <w:tl2br w:val="nil"/>
                    <w:tr2bl w:val="nil"/>
                  </w:tcBorders>
                  <w:vAlign w:val="center"/>
                </w:tcPr>
                <w:p>
                  <w:pPr>
                    <w:pStyle w:val="24"/>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2017年底，北京市、天津市、河北省、山西省和山东省所有工业园区以及化工、造纸、印染、制革、制药等产业集聚的地区，逐步取消自备燃煤锅炉，改用天然气等清洁能源或由周边热电厂集中供热。在供热供气管网覆盖不到的其他地区，改用电、新能源或洁净煤，推广应用高效节能环保型锅炉。北京市、天津市、河北省、山西省和山东省地级及以上城市建成区原则上不得新建燃煤锅炉</w:t>
                  </w:r>
                </w:p>
              </w:tc>
              <w:tc>
                <w:tcPr>
                  <w:tcW w:w="3265" w:type="dxa"/>
                  <w:tcBorders>
                    <w:tl2br w:val="nil"/>
                    <w:tr2bl w:val="nil"/>
                  </w:tcBorders>
                  <w:vAlign w:val="center"/>
                </w:tcPr>
                <w:p>
                  <w:pPr>
                    <w:pStyle w:val="24"/>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项目不属于上述行业，无燃煤锅炉。</w:t>
                  </w:r>
                </w:p>
              </w:tc>
              <w:tc>
                <w:tcPr>
                  <w:tcW w:w="715" w:type="dxa"/>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004" w:type="dxa"/>
                  <w:tcBorders>
                    <w:tl2br w:val="nil"/>
                    <w:tr2bl w:val="nil"/>
                  </w:tcBorders>
                  <w:vAlign w:val="center"/>
                </w:tcPr>
                <w:p>
                  <w:pPr>
                    <w:pStyle w:val="24"/>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实施挥发性有机物污染综合治理工程</w:t>
                  </w:r>
                </w:p>
              </w:tc>
              <w:tc>
                <w:tcPr>
                  <w:tcW w:w="3265" w:type="dxa"/>
                  <w:tcBorders>
                    <w:tl2br w:val="nil"/>
                    <w:tr2bl w:val="nil"/>
                  </w:tcBorders>
                  <w:vAlign w:val="center"/>
                </w:tcPr>
                <w:p>
                  <w:pPr>
                    <w:pStyle w:val="24"/>
                    <w:jc w:val="center"/>
                    <w:rPr>
                      <w:rFonts w:hint="default" w:ascii="Times New Roman" w:hAnsi="Times New Roman" w:eastAsia="宋体" w:cs="Times New Roman"/>
                      <w:color w:val="auto"/>
                      <w:kern w:val="0"/>
                      <w:sz w:val="21"/>
                      <w:szCs w:val="21"/>
                      <w:lang w:val="en-US" w:eastAsia="zh-CN"/>
                    </w:rPr>
                  </w:pPr>
                  <w:r>
                    <w:rPr>
                      <w:rFonts w:hint="eastAsia" w:ascii="Times New Roman" w:cs="Times New Roman"/>
                      <w:color w:val="auto"/>
                      <w:kern w:val="0"/>
                      <w:sz w:val="21"/>
                      <w:szCs w:val="21"/>
                      <w:lang w:eastAsia="zh-CN"/>
                    </w:rPr>
                    <w:t>项目取消贴烤花工序，</w:t>
                  </w:r>
                  <w:r>
                    <w:rPr>
                      <w:rFonts w:hint="eastAsia" w:ascii="Times New Roman" w:cs="Times New Roman"/>
                      <w:color w:val="auto"/>
                      <w:kern w:val="0"/>
                      <w:sz w:val="21"/>
                      <w:szCs w:val="21"/>
                      <w:lang w:val="en-US" w:eastAsia="zh-CN"/>
                    </w:rPr>
                    <w:t>VOCs不再产生</w:t>
                  </w:r>
                </w:p>
              </w:tc>
              <w:tc>
                <w:tcPr>
                  <w:tcW w:w="715" w:type="dxa"/>
                  <w:tcBorders>
                    <w:tl2br w:val="nil"/>
                    <w:tr2bl w:val="nil"/>
                  </w:tcBorders>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符合</w:t>
                  </w:r>
                </w:p>
              </w:tc>
            </w:tr>
          </w:tbl>
          <w:p>
            <w:pPr>
              <w:pStyle w:val="10"/>
              <w:spacing w:line="360" w:lineRule="auto"/>
              <w:ind w:firstLine="480" w:firstLineChars="200"/>
              <w:rPr>
                <w:rFonts w:hint="default" w:ascii="Times New Roman" w:hAnsi="Times New Roman" w:eastAsia="宋体" w:cs="Times New Roman"/>
                <w:kern w:val="0"/>
              </w:rPr>
            </w:pPr>
            <w:r>
              <w:rPr>
                <w:rFonts w:hint="default" w:ascii="Times New Roman" w:hAnsi="Times New Roman" w:eastAsia="宋体" w:cs="Times New Roman"/>
                <w:kern w:val="0"/>
                <w:sz w:val="24"/>
                <w:szCs w:val="22"/>
              </w:rPr>
              <w:t>综上，</w:t>
            </w:r>
            <w:r>
              <w:rPr>
                <w:rFonts w:hint="eastAsia" w:ascii="Times New Roman" w:hAnsi="Times New Roman" w:eastAsia="宋体" w:cs="Times New Roman"/>
                <w:kern w:val="0"/>
                <w:sz w:val="24"/>
                <w:szCs w:val="22"/>
                <w:lang w:eastAsia="zh-CN"/>
              </w:rPr>
              <w:t>技改项目</w:t>
            </w:r>
            <w:r>
              <w:rPr>
                <w:rFonts w:hint="default" w:ascii="Times New Roman" w:hAnsi="Times New Roman" w:eastAsia="宋体" w:cs="Times New Roman"/>
                <w:kern w:val="0"/>
                <w:sz w:val="24"/>
                <w:szCs w:val="22"/>
              </w:rPr>
              <w:t>的建设满足</w:t>
            </w:r>
            <w:r>
              <w:rPr>
                <w:rFonts w:hint="default" w:ascii="Times New Roman" w:hAnsi="Times New Roman" w:eastAsia="宋体" w:cs="Times New Roman"/>
                <w:kern w:val="0"/>
                <w:sz w:val="24"/>
                <w:szCs w:val="32"/>
              </w:rPr>
              <w:t>《淄博市“三线一单”生态环境分区管控方案》（淄政字〔2021〕49号）</w:t>
            </w: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22"/>
              </w:rPr>
              <w:t>《淄博市“三线一单”生态环境准入清单》（淄环委办〔2021〕24号）、</w:t>
            </w:r>
            <w:r>
              <w:rPr>
                <w:rFonts w:hint="default" w:ascii="Times New Roman" w:hAnsi="Times New Roman" w:eastAsia="宋体" w:cs="Times New Roman"/>
                <w:kern w:val="0"/>
                <w:sz w:val="24"/>
                <w:szCs w:val="32"/>
                <w:lang w:eastAsia="zh-CN"/>
              </w:rPr>
              <w:t>《山东省生态环境委员会办公室关于印发山东省深入打好蓝天保卫战行动计划(2021—2025年</w:t>
            </w:r>
            <w:r>
              <w:rPr>
                <w:rFonts w:hint="eastAsia" w:cs="Times New Roman"/>
                <w:kern w:val="0"/>
                <w:sz w:val="24"/>
                <w:szCs w:val="32"/>
                <w:lang w:eastAsia="zh-CN"/>
              </w:rPr>
              <w:t>）</w:t>
            </w:r>
            <w:r>
              <w:rPr>
                <w:rFonts w:hint="default" w:ascii="Times New Roman" w:hAnsi="Times New Roman" w:eastAsia="宋体" w:cs="Times New Roman"/>
                <w:kern w:val="0"/>
                <w:sz w:val="24"/>
                <w:szCs w:val="32"/>
                <w:lang w:eastAsia="zh-CN"/>
              </w:rPr>
              <w:t>、山东省深入打好碧水保卫战行动计划(2021—2025年</w:t>
            </w:r>
            <w:r>
              <w:rPr>
                <w:rFonts w:hint="eastAsia" w:cs="Times New Roman"/>
                <w:kern w:val="0"/>
                <w:sz w:val="24"/>
                <w:szCs w:val="32"/>
                <w:lang w:eastAsia="zh-CN"/>
              </w:rPr>
              <w:t>）</w:t>
            </w:r>
            <w:r>
              <w:rPr>
                <w:rFonts w:hint="default" w:ascii="Times New Roman" w:hAnsi="Times New Roman" w:eastAsia="宋体" w:cs="Times New Roman"/>
                <w:kern w:val="0"/>
                <w:sz w:val="24"/>
                <w:szCs w:val="32"/>
                <w:lang w:eastAsia="zh-CN"/>
              </w:rPr>
              <w:t>、山东省深入打好净土保卫战行动计划(2021—2025年</w:t>
            </w:r>
            <w:r>
              <w:rPr>
                <w:rFonts w:hint="eastAsia" w:cs="Times New Roman"/>
                <w:kern w:val="0"/>
                <w:sz w:val="24"/>
                <w:szCs w:val="32"/>
                <w:lang w:eastAsia="zh-CN"/>
              </w:rPr>
              <w:t>）</w:t>
            </w:r>
            <w:r>
              <w:rPr>
                <w:rFonts w:hint="default" w:ascii="Times New Roman" w:hAnsi="Times New Roman" w:eastAsia="宋体" w:cs="Times New Roman"/>
                <w:kern w:val="0"/>
                <w:sz w:val="24"/>
                <w:szCs w:val="32"/>
                <w:lang w:eastAsia="zh-CN"/>
              </w:rPr>
              <w:t>的通知》（鲁环委办</w:t>
            </w:r>
            <w:r>
              <w:rPr>
                <w:rFonts w:hint="eastAsia" w:cs="Times New Roman"/>
                <w:kern w:val="0"/>
                <w:sz w:val="24"/>
                <w:szCs w:val="32"/>
                <w:lang w:eastAsia="zh-CN"/>
              </w:rPr>
              <w:t>〔</w:t>
            </w:r>
            <w:r>
              <w:rPr>
                <w:rFonts w:hint="default" w:ascii="Times New Roman" w:hAnsi="Times New Roman" w:eastAsia="宋体" w:cs="Times New Roman"/>
                <w:kern w:val="0"/>
                <w:sz w:val="24"/>
                <w:szCs w:val="32"/>
                <w:lang w:val="en-US" w:eastAsia="zh-CN"/>
              </w:rPr>
              <w:t>2021</w:t>
            </w:r>
            <w:r>
              <w:rPr>
                <w:rFonts w:hint="eastAsia" w:cs="Times New Roman"/>
                <w:kern w:val="0"/>
                <w:sz w:val="24"/>
                <w:szCs w:val="32"/>
                <w:lang w:val="en-US" w:eastAsia="zh-CN"/>
              </w:rPr>
              <w:t>〕</w:t>
            </w:r>
            <w:r>
              <w:rPr>
                <w:rFonts w:hint="default" w:ascii="Times New Roman" w:hAnsi="Times New Roman" w:eastAsia="宋体" w:cs="Times New Roman"/>
                <w:kern w:val="0"/>
                <w:sz w:val="24"/>
                <w:szCs w:val="32"/>
                <w:lang w:val="en-US" w:eastAsia="zh-CN"/>
              </w:rPr>
              <w:t>30号</w:t>
            </w:r>
            <w:r>
              <w:rPr>
                <w:rFonts w:hint="default" w:ascii="Times New Roman" w:hAnsi="Times New Roman" w:eastAsia="宋体" w:cs="Times New Roman"/>
                <w:kern w:val="0"/>
                <w:sz w:val="24"/>
                <w:szCs w:val="32"/>
                <w:lang w:eastAsia="zh-CN"/>
              </w:rPr>
              <w:t>）</w:t>
            </w:r>
            <w:r>
              <w:rPr>
                <w:rFonts w:hint="default" w:ascii="Times New Roman" w:hAnsi="Times New Roman" w:eastAsia="宋体" w:cs="Times New Roman"/>
                <w:kern w:val="0"/>
                <w:sz w:val="24"/>
                <w:szCs w:val="32"/>
                <w:lang w:val="en-US" w:eastAsia="zh-CN"/>
              </w:rPr>
              <w:t>、</w:t>
            </w:r>
            <w:r>
              <w:rPr>
                <w:rFonts w:hint="default" w:ascii="Times New Roman" w:hAnsi="Times New Roman" w:eastAsia="宋体" w:cs="Times New Roman"/>
                <w:kern w:val="0"/>
                <w:sz w:val="24"/>
                <w:szCs w:val="22"/>
              </w:rPr>
              <w:t>《山东省环境保护条例》（2018.11.30修订）、《山东省新一轮“四减四增”三年行动方案（2021—2023年）》、《大气污染防治行动计划》（国发〔2013〕37号）、《京津冀及周边地区落实大气污染防治行动计划实施细则》</w:t>
            </w:r>
            <w:r>
              <w:rPr>
                <w:rFonts w:hint="default" w:ascii="Times New Roman" w:hAnsi="Times New Roman" w:eastAsia="宋体" w:cs="Times New Roman"/>
                <w:kern w:val="0"/>
                <w:sz w:val="24"/>
                <w:szCs w:val="22"/>
                <w:lang w:eastAsia="zh-CN"/>
              </w:rPr>
              <w:t>等文件的具体要求</w:t>
            </w:r>
            <w:r>
              <w:rPr>
                <w:rFonts w:hint="default" w:ascii="Times New Roman" w:hAnsi="Times New Roman" w:eastAsia="宋体" w:cs="Times New Roman"/>
                <w:kern w:val="0"/>
                <w:sz w:val="24"/>
                <w:szCs w:val="22"/>
              </w:rPr>
              <w:t>。</w:t>
            </w:r>
          </w:p>
        </w:tc>
      </w:tr>
    </w:tbl>
    <w:p>
      <w:pPr>
        <w:spacing w:line="360" w:lineRule="auto"/>
        <w:outlineLvl w:val="0"/>
        <w:rPr>
          <w:rFonts w:hint="default" w:ascii="Times New Roman" w:hAnsi="Times New Roman" w:eastAsia="宋体" w:cs="Times New Roman"/>
          <w:kern w:val="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7"/>
        <w:jc w:val="center"/>
        <w:outlineLvl w:val="0"/>
        <w:rPr>
          <w:rFonts w:hint="default" w:ascii="Times New Roman" w:hAnsi="Times New Roman" w:eastAsia="宋体" w:cs="Times New Roman"/>
          <w:b/>
          <w:bCs/>
          <w:snapToGrid w:val="0"/>
          <w:kern w:val="0"/>
          <w:sz w:val="30"/>
          <w:szCs w:val="30"/>
        </w:rPr>
      </w:pPr>
      <w:r>
        <w:rPr>
          <w:rFonts w:hint="default" w:ascii="Times New Roman" w:hAnsi="Times New Roman" w:eastAsia="宋体" w:cs="Times New Roman"/>
          <w:b/>
          <w:bCs/>
          <w:snapToGrid w:val="0"/>
          <w:kern w:val="0"/>
          <w:sz w:val="30"/>
          <w:szCs w:val="30"/>
        </w:rPr>
        <w:t>二、建设项目工程分析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2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dxa"/>
            <w:vAlign w:val="center"/>
          </w:tcPr>
          <w:p>
            <w:pPr>
              <w:pStyle w:val="17"/>
              <w:adjustRightInd w:val="0"/>
              <w:snapToGrid w:val="0"/>
              <w:spacing w:before="0" w:beforeAutospacing="0" w:after="0" w:afterAutospacing="0"/>
              <w:jc w:val="center"/>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建设内容</w:t>
            </w:r>
          </w:p>
        </w:tc>
        <w:tc>
          <w:tcPr>
            <w:tcW w:w="8287" w:type="dxa"/>
            <w:tcBorders>
              <w:top w:val="single" w:color="auto" w:sz="4" w:space="0"/>
              <w:right w:val="single" w:color="auto" w:sz="4" w:space="0"/>
            </w:tcBorders>
          </w:tcPr>
          <w:p>
            <w:pPr>
              <w:numPr>
                <w:ilvl w:val="0"/>
                <w:numId w:val="2"/>
              </w:numPr>
              <w:adjustRightInd w:val="0"/>
              <w:snapToGrid w:val="0"/>
              <w:spacing w:line="360" w:lineRule="auto"/>
              <w:rPr>
                <w:rFonts w:hint="default"/>
                <w:sz w:val="24"/>
                <w:szCs w:val="24"/>
              </w:rPr>
            </w:pPr>
            <w:r>
              <w:rPr>
                <w:rFonts w:hint="default"/>
                <w:sz w:val="24"/>
                <w:szCs w:val="24"/>
              </w:rPr>
              <w:t>项目由来</w:t>
            </w:r>
          </w:p>
          <w:p>
            <w:pPr>
              <w:snapToGrid w:val="0"/>
              <w:spacing w:line="360" w:lineRule="auto"/>
              <w:ind w:firstLine="480" w:firstLineChars="200"/>
              <w:textAlignment w:val="baseline"/>
              <w:rPr>
                <w:rFonts w:hint="default"/>
                <w:sz w:val="24"/>
                <w:szCs w:val="24"/>
              </w:rPr>
            </w:pPr>
            <w:r>
              <w:rPr>
                <w:rFonts w:hint="default"/>
                <w:sz w:val="24"/>
                <w:szCs w:val="24"/>
              </w:rPr>
              <w:t>淄博圣彩玻璃制品有限公司原址位于淄博市文昌湖区萌水镇西衣村南首。主要经营范围包括玻璃杯、玻璃制品销售；包装制品（不含印刷）生产、销售；服装，日用百货销售。（依法须经批准的项目，经相关部门批准后方可开展经营活动）。</w:t>
            </w:r>
          </w:p>
          <w:p>
            <w:pPr>
              <w:pStyle w:val="2"/>
              <w:spacing w:after="0" w:line="360" w:lineRule="auto"/>
              <w:ind w:left="0" w:leftChars="0" w:firstLine="480"/>
              <w:rPr>
                <w:rFonts w:hint="default"/>
                <w:sz w:val="24"/>
                <w:szCs w:val="24"/>
              </w:rPr>
            </w:pPr>
            <w:r>
              <w:rPr>
                <w:rFonts w:hint="default"/>
                <w:sz w:val="24"/>
                <w:szCs w:val="24"/>
              </w:rPr>
              <w:t>公司现有“年产80万只玻璃杯项目”，该项目于2015年10月15日投产，2017年3月委托聊城大学编制《年产80万只玻璃杯项目建设项目环境影响现状评价》，于2017年7月20日取得文昌湖旅游度假区生态和环境保护局的审查意见（淄文环审[2017]272号）。</w:t>
            </w:r>
          </w:p>
          <w:p>
            <w:pPr>
              <w:adjustRightInd w:val="0"/>
              <w:snapToGrid w:val="0"/>
              <w:spacing w:line="360" w:lineRule="auto"/>
              <w:ind w:firstLine="480" w:firstLineChars="200"/>
              <w:rPr>
                <w:rFonts w:hint="default"/>
                <w:sz w:val="24"/>
                <w:szCs w:val="24"/>
              </w:rPr>
            </w:pPr>
            <w:r>
              <w:rPr>
                <w:rFonts w:hint="default"/>
                <w:sz w:val="24"/>
                <w:szCs w:val="24"/>
                <w:lang w:eastAsia="zh-CN"/>
              </w:rPr>
              <w:t>由于产品规格发生变化、生产工艺提升改进，</w:t>
            </w:r>
            <w:r>
              <w:rPr>
                <w:rFonts w:hint="default"/>
                <w:sz w:val="24"/>
                <w:szCs w:val="24"/>
              </w:rPr>
              <w:t>为提高生产效率，更好的配备制造资源，改进产品规格，减少污染排放，并且可以根据客户要求进行产品升级，推动企业发展，公司拟投资65万元对现有生产线进行设备更替和生产线</w:t>
            </w:r>
            <w:r>
              <w:rPr>
                <w:rFonts w:hint="eastAsia"/>
                <w:sz w:val="24"/>
                <w:szCs w:val="24"/>
                <w:lang w:eastAsia="zh-CN"/>
              </w:rPr>
              <w:t>工艺及</w:t>
            </w:r>
            <w:r>
              <w:rPr>
                <w:rFonts w:hint="default"/>
                <w:sz w:val="24"/>
                <w:szCs w:val="24"/>
              </w:rPr>
              <w:t>技术改进。技改项目位于山东省淄博市文昌湖区萌水镇萌二村委南100米。企业</w:t>
            </w:r>
            <w:r>
              <w:rPr>
                <w:rFonts w:hint="eastAsia"/>
                <w:sz w:val="24"/>
                <w:szCs w:val="24"/>
                <w:lang w:eastAsia="zh-CN"/>
              </w:rPr>
              <w:t>租</w:t>
            </w:r>
            <w:r>
              <w:rPr>
                <w:rFonts w:hint="default"/>
                <w:sz w:val="24"/>
                <w:szCs w:val="24"/>
                <w:lang w:eastAsia="zh-CN"/>
              </w:rPr>
              <w:t>用</w:t>
            </w:r>
            <w:r>
              <w:rPr>
                <w:rFonts w:hint="default"/>
                <w:sz w:val="24"/>
                <w:szCs w:val="24"/>
              </w:rPr>
              <w:t>现有</w:t>
            </w:r>
            <w:r>
              <w:rPr>
                <w:rFonts w:hint="eastAsia"/>
                <w:sz w:val="24"/>
                <w:szCs w:val="24"/>
                <w:lang w:eastAsia="zh-CN"/>
              </w:rPr>
              <w:t>闲置</w:t>
            </w:r>
            <w:r>
              <w:rPr>
                <w:rFonts w:hint="default"/>
                <w:sz w:val="24"/>
                <w:szCs w:val="24"/>
              </w:rPr>
              <w:t>厂房进行生产，占地面积2000m</w:t>
            </w:r>
            <w:r>
              <w:rPr>
                <w:rFonts w:hint="default"/>
                <w:sz w:val="24"/>
                <w:szCs w:val="24"/>
                <w:vertAlign w:val="superscript"/>
              </w:rPr>
              <w:t>2</w:t>
            </w:r>
            <w:r>
              <w:rPr>
                <w:rFonts w:hint="default"/>
                <w:sz w:val="24"/>
                <w:szCs w:val="24"/>
              </w:rPr>
              <w:t>，建筑面积1200m</w:t>
            </w:r>
            <w:r>
              <w:rPr>
                <w:rFonts w:hint="default"/>
                <w:sz w:val="24"/>
                <w:szCs w:val="24"/>
                <w:vertAlign w:val="superscript"/>
              </w:rPr>
              <w:t>2</w:t>
            </w:r>
            <w:r>
              <w:rPr>
                <w:rFonts w:hint="default"/>
                <w:sz w:val="24"/>
                <w:szCs w:val="24"/>
              </w:rPr>
              <w:t>，主要包括北车间、西车间、办公室、仓库等构筑物，项目以玻璃管、杯盖、液化石油气等为原料，改进生产工艺，取消了贴底及磨底工艺；淘汰了割管机、磨底机、磨管机等合计9台（套）设备，利旧封底机</w:t>
            </w:r>
            <w:r>
              <w:rPr>
                <w:rFonts w:hint="default"/>
                <w:sz w:val="24"/>
                <w:szCs w:val="24"/>
                <w:lang w:val="en-US" w:eastAsia="zh-CN"/>
              </w:rPr>
              <w:t>6台</w:t>
            </w:r>
            <w:r>
              <w:rPr>
                <w:rFonts w:hint="default"/>
                <w:sz w:val="24"/>
                <w:szCs w:val="24"/>
              </w:rPr>
              <w:t>、电炉箱</w:t>
            </w:r>
            <w:r>
              <w:rPr>
                <w:rFonts w:hint="default"/>
                <w:sz w:val="24"/>
                <w:szCs w:val="24"/>
                <w:lang w:val="en-US" w:eastAsia="zh-CN"/>
              </w:rPr>
              <w:t>8台</w:t>
            </w:r>
            <w:r>
              <w:rPr>
                <w:rFonts w:hint="default"/>
                <w:sz w:val="24"/>
                <w:szCs w:val="24"/>
              </w:rPr>
              <w:t>、封口机</w:t>
            </w:r>
            <w:r>
              <w:rPr>
                <w:rFonts w:hint="default"/>
                <w:sz w:val="24"/>
                <w:szCs w:val="24"/>
                <w:lang w:val="en-US" w:eastAsia="zh-CN"/>
              </w:rPr>
              <w:t>8台</w:t>
            </w:r>
            <w:r>
              <w:rPr>
                <w:rFonts w:hint="default"/>
                <w:sz w:val="24"/>
                <w:szCs w:val="24"/>
              </w:rPr>
              <w:t>、清洗机</w:t>
            </w:r>
            <w:r>
              <w:rPr>
                <w:rFonts w:hint="default"/>
                <w:sz w:val="24"/>
                <w:szCs w:val="24"/>
                <w:lang w:val="en-US" w:eastAsia="zh-CN"/>
              </w:rPr>
              <w:t>1台</w:t>
            </w:r>
            <w:r>
              <w:rPr>
                <w:rFonts w:hint="default"/>
                <w:sz w:val="24"/>
                <w:szCs w:val="24"/>
              </w:rPr>
              <w:t>、压颈机</w:t>
            </w:r>
            <w:r>
              <w:rPr>
                <w:rFonts w:hint="default"/>
                <w:sz w:val="24"/>
                <w:szCs w:val="24"/>
                <w:lang w:val="en-US" w:eastAsia="zh-CN"/>
              </w:rPr>
              <w:t>1台</w:t>
            </w:r>
            <w:r>
              <w:rPr>
                <w:rFonts w:hint="default"/>
                <w:sz w:val="24"/>
                <w:szCs w:val="24"/>
              </w:rPr>
              <w:t>、甩干机</w:t>
            </w:r>
            <w:r>
              <w:rPr>
                <w:rFonts w:hint="default"/>
                <w:sz w:val="24"/>
                <w:szCs w:val="24"/>
                <w:lang w:val="en-US" w:eastAsia="zh-CN"/>
              </w:rPr>
              <w:t>1台</w:t>
            </w:r>
            <w:r>
              <w:rPr>
                <w:rFonts w:hint="default"/>
                <w:sz w:val="24"/>
                <w:szCs w:val="24"/>
              </w:rPr>
              <w:t>等设备</w:t>
            </w:r>
            <w:r>
              <w:rPr>
                <w:rFonts w:hint="default"/>
                <w:sz w:val="24"/>
                <w:szCs w:val="24"/>
                <w:lang w:eastAsia="zh-CN"/>
              </w:rPr>
              <w:t>合计</w:t>
            </w:r>
            <w:r>
              <w:rPr>
                <w:rFonts w:hint="default"/>
                <w:sz w:val="24"/>
                <w:szCs w:val="24"/>
                <w:lang w:val="en-US" w:eastAsia="zh-CN"/>
              </w:rPr>
              <w:t>25台（套），购置下料机3台、烧底机8台、封口机2台、压颈机1台、擦杯机2台、空压机3台合计</w:t>
            </w:r>
            <w:r>
              <w:rPr>
                <w:rFonts w:hint="eastAsia"/>
                <w:sz w:val="24"/>
                <w:szCs w:val="24"/>
                <w:lang w:val="en-US" w:eastAsia="zh-CN"/>
              </w:rPr>
              <w:t>19</w:t>
            </w:r>
            <w:r>
              <w:rPr>
                <w:rFonts w:hint="default"/>
                <w:sz w:val="24"/>
                <w:szCs w:val="24"/>
                <w:lang w:val="en-US" w:eastAsia="zh-CN"/>
              </w:rPr>
              <w:t>台（套），</w:t>
            </w:r>
            <w:r>
              <w:rPr>
                <w:rFonts w:hint="default"/>
                <w:sz w:val="24"/>
                <w:szCs w:val="24"/>
              </w:rPr>
              <w:t>用于生产加工</w:t>
            </w:r>
            <w:r>
              <w:rPr>
                <w:rFonts w:hint="default"/>
                <w:sz w:val="24"/>
                <w:szCs w:val="24"/>
                <w:lang w:eastAsia="zh-CN"/>
              </w:rPr>
              <w:t>及废气处理</w:t>
            </w:r>
            <w:r>
              <w:rPr>
                <w:rFonts w:hint="default"/>
                <w:sz w:val="24"/>
                <w:szCs w:val="24"/>
              </w:rPr>
              <w:t>。项目总投资65万元，其中环保投资6万</w:t>
            </w:r>
            <w:r>
              <w:rPr>
                <w:rFonts w:hint="default"/>
                <w:sz w:val="24"/>
                <w:szCs w:val="24"/>
                <w:lang w:eastAsia="zh-CN"/>
              </w:rPr>
              <w:t>元，新增</w:t>
            </w:r>
            <w:r>
              <w:rPr>
                <w:rFonts w:hint="eastAsia"/>
                <w:sz w:val="24"/>
                <w:szCs w:val="24"/>
                <w:lang w:eastAsia="zh-CN"/>
              </w:rPr>
              <w:t>车间</w:t>
            </w:r>
            <w:r>
              <w:rPr>
                <w:rFonts w:hint="eastAsia"/>
                <w:sz w:val="24"/>
                <w:szCs w:val="24"/>
                <w:lang w:val="en-US" w:eastAsia="zh-CN"/>
              </w:rPr>
              <w:t>5</w:t>
            </w:r>
            <w:r>
              <w:rPr>
                <w:rFonts w:hint="default"/>
                <w:sz w:val="24"/>
                <w:szCs w:val="24"/>
                <w:lang w:val="en-US" w:eastAsia="zh-CN"/>
              </w:rPr>
              <w:t>00</w:t>
            </w:r>
            <w:r>
              <w:rPr>
                <w:rFonts w:hint="default"/>
                <w:sz w:val="24"/>
                <w:szCs w:val="24"/>
              </w:rPr>
              <w:t>m</w:t>
            </w:r>
            <w:r>
              <w:rPr>
                <w:rFonts w:hint="default"/>
                <w:sz w:val="24"/>
                <w:szCs w:val="24"/>
                <w:vertAlign w:val="superscript"/>
              </w:rPr>
              <w:t>2</w:t>
            </w:r>
            <w:r>
              <w:rPr>
                <w:rFonts w:hint="eastAsia"/>
                <w:sz w:val="24"/>
                <w:szCs w:val="24"/>
                <w:lang w:eastAsia="zh-CN"/>
              </w:rPr>
              <w:t>（租赁）</w:t>
            </w:r>
            <w:r>
              <w:rPr>
                <w:rFonts w:hint="default"/>
                <w:sz w:val="24"/>
                <w:szCs w:val="24"/>
              </w:rPr>
              <w:t>；项目预计于2021年12月动工建设，2022年3月建成投产；</w:t>
            </w:r>
            <w:r>
              <w:rPr>
                <w:rFonts w:hint="eastAsia"/>
                <w:sz w:val="24"/>
                <w:szCs w:val="24"/>
                <w:lang w:eastAsia="zh-CN"/>
              </w:rPr>
              <w:t>技改项目削减劳动定员10人</w:t>
            </w:r>
            <w:r>
              <w:rPr>
                <w:rFonts w:hint="default"/>
                <w:sz w:val="24"/>
                <w:szCs w:val="24"/>
                <w:lang w:eastAsia="zh-CN"/>
              </w:rPr>
              <w:t>，</w:t>
            </w:r>
            <w:r>
              <w:rPr>
                <w:rFonts w:hint="eastAsia"/>
                <w:sz w:val="24"/>
                <w:szCs w:val="24"/>
                <w:lang w:eastAsia="zh-CN"/>
              </w:rPr>
              <w:t>生产人员全部由现有项目调剂</w:t>
            </w:r>
            <w:r>
              <w:rPr>
                <w:rFonts w:hint="default"/>
                <w:sz w:val="24"/>
                <w:szCs w:val="24"/>
                <w:lang w:eastAsia="zh-CN"/>
              </w:rPr>
              <w:t>，技改完成后全厂劳动定员</w:t>
            </w:r>
            <w:r>
              <w:rPr>
                <w:rFonts w:hint="eastAsia"/>
                <w:sz w:val="24"/>
                <w:szCs w:val="24"/>
                <w:lang w:val="en-US" w:eastAsia="zh-CN"/>
              </w:rPr>
              <w:t>20</w:t>
            </w:r>
            <w:r>
              <w:rPr>
                <w:rFonts w:hint="default"/>
                <w:sz w:val="24"/>
                <w:szCs w:val="24"/>
                <w:lang w:val="en-US" w:eastAsia="zh-CN"/>
              </w:rPr>
              <w:t>人</w:t>
            </w:r>
            <w:r>
              <w:rPr>
                <w:rFonts w:hint="default"/>
                <w:sz w:val="24"/>
                <w:szCs w:val="24"/>
                <w:lang w:eastAsia="zh-CN"/>
              </w:rPr>
              <w:t>。</w:t>
            </w:r>
            <w:r>
              <w:rPr>
                <w:rFonts w:hint="default"/>
                <w:sz w:val="24"/>
                <w:szCs w:val="24"/>
              </w:rPr>
              <w:t>全年生产时间280天，单班8h制，年2240小时；项目建成后，年产80万只玻璃杯（直径6.6~12cm，高度15~25cm）。</w:t>
            </w:r>
          </w:p>
          <w:p>
            <w:pPr>
              <w:adjustRightInd w:val="0"/>
              <w:snapToGrid w:val="0"/>
              <w:spacing w:line="360" w:lineRule="auto"/>
              <w:rPr>
                <w:rFonts w:hint="default"/>
                <w:sz w:val="24"/>
                <w:szCs w:val="24"/>
              </w:rPr>
            </w:pPr>
            <w:r>
              <w:rPr>
                <w:rFonts w:hint="default"/>
                <w:sz w:val="24"/>
                <w:szCs w:val="24"/>
              </w:rPr>
              <w:t>2、项目基本组成</w:t>
            </w:r>
          </w:p>
          <w:p>
            <w:pPr>
              <w:adjustRightInd w:val="0"/>
              <w:snapToGrid w:val="0"/>
              <w:spacing w:line="360" w:lineRule="auto"/>
              <w:ind w:firstLine="444" w:firstLineChars="185"/>
              <w:rPr>
                <w:rFonts w:hint="default"/>
                <w:sz w:val="24"/>
                <w:szCs w:val="24"/>
              </w:rPr>
            </w:pPr>
            <w:r>
              <w:rPr>
                <w:rFonts w:hint="eastAsia"/>
                <w:sz w:val="24"/>
                <w:szCs w:val="24"/>
                <w:lang w:eastAsia="zh-CN"/>
              </w:rPr>
              <w:t>建（构）筑物</w:t>
            </w:r>
            <w:r>
              <w:rPr>
                <w:rFonts w:hint="default"/>
                <w:sz w:val="24"/>
                <w:szCs w:val="24"/>
              </w:rPr>
              <w:t>主要组成见下表。</w:t>
            </w:r>
          </w:p>
          <w:p>
            <w:pPr>
              <w:adjustRightInd w:val="0"/>
              <w:snapToGrid w:val="0"/>
              <w:ind w:firstLine="444" w:firstLineChars="185"/>
              <w:jc w:val="center"/>
              <w:rPr>
                <w:rFonts w:hint="default"/>
                <w:sz w:val="24"/>
                <w:szCs w:val="24"/>
              </w:rPr>
            </w:pPr>
            <w:r>
              <w:rPr>
                <w:rFonts w:hint="default"/>
                <w:sz w:val="24"/>
                <w:szCs w:val="24"/>
              </w:rPr>
              <w:t xml:space="preserve">表2-1 </w:t>
            </w:r>
            <w:r>
              <w:rPr>
                <w:rFonts w:hint="default"/>
                <w:sz w:val="24"/>
                <w:szCs w:val="24"/>
                <w:lang w:eastAsia="zh-CN"/>
              </w:rPr>
              <w:t>现有项目</w:t>
            </w:r>
            <w:r>
              <w:rPr>
                <w:rFonts w:hint="default"/>
                <w:sz w:val="24"/>
                <w:szCs w:val="24"/>
              </w:rPr>
              <w:t>基本组成一览表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287"/>
              <w:gridCol w:w="5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32" w:type="pct"/>
                  <w:tcBorders>
                    <w:tl2br w:val="nil"/>
                    <w:tr2bl w:val="nil"/>
                  </w:tcBorders>
                  <w:vAlign w:val="center"/>
                </w:tcPr>
                <w:p>
                  <w:pPr>
                    <w:adjustRightInd w:val="0"/>
                    <w:snapToGrid w:val="0"/>
                    <w:jc w:val="center"/>
                    <w:rPr>
                      <w:rFonts w:hint="default"/>
                      <w:sz w:val="21"/>
                      <w:szCs w:val="21"/>
                    </w:rPr>
                  </w:pPr>
                  <w:r>
                    <w:rPr>
                      <w:rFonts w:hint="default"/>
                      <w:sz w:val="21"/>
                      <w:szCs w:val="21"/>
                    </w:rPr>
                    <w:t>工程名称</w:t>
                  </w:r>
                </w:p>
              </w:tc>
              <w:tc>
                <w:tcPr>
                  <w:tcW w:w="4267" w:type="pct"/>
                  <w:gridSpan w:val="2"/>
                  <w:tcBorders>
                    <w:tl2br w:val="nil"/>
                    <w:tr2bl w:val="nil"/>
                  </w:tcBorders>
                  <w:vAlign w:val="center"/>
                </w:tcPr>
                <w:p>
                  <w:pPr>
                    <w:adjustRightInd w:val="0"/>
                    <w:snapToGrid w:val="0"/>
                    <w:jc w:val="center"/>
                    <w:rPr>
                      <w:rFonts w:hint="default"/>
                      <w:sz w:val="21"/>
                      <w:szCs w:val="21"/>
                    </w:rPr>
                  </w:pPr>
                  <w:r>
                    <w:rPr>
                      <w:rFonts w:hint="default"/>
                      <w:sz w:val="21"/>
                      <w:szCs w:val="21"/>
                    </w:rPr>
                    <w:t>工程规模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tcBorders>
                    <w:tl2br w:val="nil"/>
                    <w:tr2bl w:val="nil"/>
                  </w:tcBorders>
                  <w:vAlign w:val="center"/>
                </w:tcPr>
                <w:p>
                  <w:pPr>
                    <w:adjustRightInd w:val="0"/>
                    <w:snapToGrid w:val="0"/>
                    <w:jc w:val="center"/>
                    <w:rPr>
                      <w:rFonts w:hint="default"/>
                      <w:sz w:val="21"/>
                      <w:szCs w:val="21"/>
                    </w:rPr>
                  </w:pPr>
                  <w:r>
                    <w:rPr>
                      <w:rFonts w:hint="default"/>
                      <w:sz w:val="21"/>
                      <w:szCs w:val="21"/>
                    </w:rPr>
                    <w:t>主体工程</w:t>
                  </w: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车间</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轻钢结构，一层，建筑面积350m</w:t>
                  </w:r>
                  <w:r>
                    <w:rPr>
                      <w:rFonts w:hint="default"/>
                      <w:sz w:val="21"/>
                      <w:szCs w:val="21"/>
                      <w:vertAlign w:val="superscript"/>
                    </w:rPr>
                    <w:t>2</w:t>
                  </w:r>
                  <w:r>
                    <w:rPr>
                      <w:rFonts w:hint="default"/>
                      <w:sz w:val="21"/>
                      <w:szCs w:val="21"/>
                    </w:rPr>
                    <w:t>，为主要生产车间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tcBorders>
                    <w:tl2br w:val="nil"/>
                    <w:tr2bl w:val="nil"/>
                  </w:tcBorders>
                  <w:vAlign w:val="center"/>
                </w:tcPr>
                <w:p>
                  <w:pPr>
                    <w:adjustRightInd w:val="0"/>
                    <w:snapToGrid w:val="0"/>
                    <w:jc w:val="center"/>
                    <w:rPr>
                      <w:rFonts w:hint="default"/>
                      <w:sz w:val="21"/>
                      <w:szCs w:val="21"/>
                    </w:rPr>
                  </w:pPr>
                  <w:r>
                    <w:rPr>
                      <w:rFonts w:hint="default"/>
                      <w:sz w:val="21"/>
                      <w:szCs w:val="21"/>
                    </w:rPr>
                    <w:t>辅助工程</w:t>
                  </w: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办公室</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砖混结构，一层，建筑面积合计80m</w:t>
                  </w:r>
                  <w:r>
                    <w:rPr>
                      <w:rFonts w:hint="default"/>
                      <w:sz w:val="21"/>
                      <w:szCs w:val="21"/>
                      <w:vertAlign w:val="superscript"/>
                    </w:rPr>
                    <w:t>2</w:t>
                  </w:r>
                  <w:r>
                    <w:rPr>
                      <w:rFonts w:hint="default"/>
                      <w:sz w:val="21"/>
                      <w:szCs w:val="21"/>
                    </w:rPr>
                    <w:t>，用于行政办公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restart"/>
                  <w:tcBorders>
                    <w:tl2br w:val="nil"/>
                    <w:tr2bl w:val="nil"/>
                  </w:tcBorders>
                  <w:vAlign w:val="center"/>
                </w:tcPr>
                <w:p>
                  <w:pPr>
                    <w:adjustRightInd w:val="0"/>
                    <w:snapToGrid w:val="0"/>
                    <w:jc w:val="center"/>
                    <w:rPr>
                      <w:rFonts w:hint="default"/>
                      <w:sz w:val="21"/>
                      <w:szCs w:val="21"/>
                      <w:lang w:eastAsia="zh-CN"/>
                    </w:rPr>
                  </w:pPr>
                  <w:r>
                    <w:rPr>
                      <w:rFonts w:hint="default"/>
                      <w:sz w:val="21"/>
                      <w:szCs w:val="21"/>
                      <w:lang w:eastAsia="zh-CN"/>
                    </w:rPr>
                    <w:t>储运工程</w:t>
                  </w: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成品仓库</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轻钢结构，一层，建筑面积150m</w:t>
                  </w:r>
                  <w:r>
                    <w:rPr>
                      <w:rFonts w:hint="default"/>
                      <w:sz w:val="21"/>
                      <w:szCs w:val="21"/>
                      <w:vertAlign w:val="superscript"/>
                    </w:rPr>
                    <w:t>2</w:t>
                  </w:r>
                  <w:r>
                    <w:rPr>
                      <w:rFonts w:hint="default"/>
                      <w:sz w:val="21"/>
                      <w:szCs w:val="21"/>
                    </w:rPr>
                    <w:t>，用于存储成品玻璃杯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continue"/>
                  <w:tcBorders>
                    <w:tl2br w:val="nil"/>
                    <w:tr2bl w:val="nil"/>
                  </w:tcBorders>
                  <w:vAlign w:val="center"/>
                </w:tcPr>
                <w:p>
                  <w:pPr>
                    <w:adjustRightInd w:val="0"/>
                    <w:snapToGrid w:val="0"/>
                    <w:jc w:val="center"/>
                    <w:rPr>
                      <w:rFonts w:hint="default"/>
                      <w:sz w:val="21"/>
                      <w:szCs w:val="21"/>
                    </w:rPr>
                  </w:pPr>
                </w:p>
              </w:tc>
              <w:tc>
                <w:tcPr>
                  <w:tcW w:w="800" w:type="pct"/>
                  <w:tcBorders>
                    <w:tl2br w:val="nil"/>
                    <w:tr2bl w:val="nil"/>
                  </w:tcBorders>
                  <w:vAlign w:val="center"/>
                </w:tcPr>
                <w:p>
                  <w:pPr>
                    <w:adjustRightInd w:val="0"/>
                    <w:snapToGrid w:val="0"/>
                    <w:jc w:val="center"/>
                    <w:rPr>
                      <w:rFonts w:hint="default"/>
                      <w:sz w:val="21"/>
                      <w:szCs w:val="21"/>
                      <w:lang w:val="en-US" w:eastAsia="zh-CN"/>
                    </w:rPr>
                  </w:pPr>
                  <w:r>
                    <w:rPr>
                      <w:rFonts w:hint="default"/>
                      <w:sz w:val="21"/>
                      <w:szCs w:val="21"/>
                    </w:rPr>
                    <w:t>原料仓库</w:t>
                  </w:r>
                </w:p>
              </w:tc>
              <w:tc>
                <w:tcPr>
                  <w:tcW w:w="3466" w:type="pct"/>
                  <w:tcBorders>
                    <w:tl2br w:val="nil"/>
                    <w:tr2bl w:val="nil"/>
                  </w:tcBorders>
                  <w:vAlign w:val="center"/>
                </w:tcPr>
                <w:p>
                  <w:pPr>
                    <w:adjustRightInd w:val="0"/>
                    <w:snapToGrid w:val="0"/>
                    <w:jc w:val="center"/>
                    <w:rPr>
                      <w:rFonts w:hint="default"/>
                      <w:sz w:val="21"/>
                      <w:szCs w:val="21"/>
                      <w:lang w:val="en-US" w:eastAsia="zh-CN"/>
                    </w:rPr>
                  </w:pPr>
                  <w:r>
                    <w:rPr>
                      <w:rFonts w:hint="default"/>
                      <w:sz w:val="21"/>
                      <w:szCs w:val="21"/>
                    </w:rPr>
                    <w:t>轻钢结构，一层，建筑面积100m</w:t>
                  </w:r>
                  <w:r>
                    <w:rPr>
                      <w:rFonts w:hint="default"/>
                      <w:sz w:val="21"/>
                      <w:szCs w:val="21"/>
                      <w:vertAlign w:val="superscript"/>
                    </w:rPr>
                    <w:t>2</w:t>
                  </w:r>
                  <w:r>
                    <w:rPr>
                      <w:rFonts w:hint="default"/>
                      <w:sz w:val="21"/>
                      <w:szCs w:val="21"/>
                    </w:rPr>
                    <w:t>，用于存储原料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continue"/>
                  <w:tcBorders>
                    <w:tl2br w:val="nil"/>
                    <w:tr2bl w:val="nil"/>
                  </w:tcBorders>
                  <w:vAlign w:val="center"/>
                </w:tcPr>
                <w:p>
                  <w:pPr>
                    <w:adjustRightInd w:val="0"/>
                    <w:snapToGrid w:val="0"/>
                    <w:jc w:val="center"/>
                    <w:rPr>
                      <w:rFonts w:hint="default"/>
                      <w:sz w:val="21"/>
                      <w:szCs w:val="21"/>
                    </w:rPr>
                  </w:pP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液化石油气暂存区</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一座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公用工程</w:t>
                  </w: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供水系统</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用水量为146t/a，由西衣村自来水管网提供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continue"/>
                  <w:tcBorders>
                    <w:tl2br w:val="nil"/>
                    <w:tr2bl w:val="nil"/>
                  </w:tcBorders>
                  <w:vAlign w:val="center"/>
                </w:tcPr>
                <w:p>
                  <w:pPr>
                    <w:adjustRightInd w:val="0"/>
                    <w:snapToGrid w:val="0"/>
                    <w:jc w:val="center"/>
                    <w:rPr>
                      <w:rFonts w:hint="default"/>
                      <w:sz w:val="21"/>
                      <w:szCs w:val="21"/>
                    </w:rPr>
                  </w:pP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供电系统</w:t>
                  </w:r>
                </w:p>
              </w:tc>
              <w:tc>
                <w:tcPr>
                  <w:tcW w:w="3466" w:type="pct"/>
                  <w:tcBorders>
                    <w:tl2br w:val="nil"/>
                    <w:tr2bl w:val="nil"/>
                  </w:tcBorders>
                  <w:vAlign w:val="center"/>
                </w:tcPr>
                <w:p>
                  <w:pPr>
                    <w:wordWrap w:val="0"/>
                    <w:adjustRightInd w:val="0"/>
                    <w:snapToGrid w:val="0"/>
                    <w:jc w:val="center"/>
                    <w:rPr>
                      <w:rFonts w:hint="default"/>
                      <w:sz w:val="21"/>
                      <w:szCs w:val="21"/>
                    </w:rPr>
                  </w:pPr>
                  <w:r>
                    <w:rPr>
                      <w:rFonts w:hint="default"/>
                      <w:sz w:val="21"/>
                      <w:szCs w:val="21"/>
                    </w:rPr>
                    <w:t>用电量为1.5万kW·h/a，由淄博市文昌湖旅游度假区萌水镇供电所提供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continue"/>
                  <w:tcBorders>
                    <w:tl2br w:val="nil"/>
                    <w:tr2bl w:val="nil"/>
                  </w:tcBorders>
                  <w:vAlign w:val="center"/>
                </w:tcPr>
                <w:p>
                  <w:pPr>
                    <w:adjustRightInd w:val="0"/>
                    <w:snapToGrid w:val="0"/>
                    <w:jc w:val="center"/>
                    <w:rPr>
                      <w:rFonts w:hint="default"/>
                      <w:sz w:val="21"/>
                      <w:szCs w:val="21"/>
                    </w:rPr>
                  </w:pP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液化石油气</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用气量为5t/a，由淄博市周村液化石油气服务中心提供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continue"/>
                  <w:tcBorders>
                    <w:tl2br w:val="nil"/>
                    <w:tr2bl w:val="nil"/>
                  </w:tcBorders>
                  <w:vAlign w:val="center"/>
                </w:tcPr>
                <w:p>
                  <w:pPr>
                    <w:adjustRightInd w:val="0"/>
                    <w:snapToGrid w:val="0"/>
                    <w:jc w:val="center"/>
                    <w:rPr>
                      <w:rFonts w:hint="default"/>
                      <w:sz w:val="21"/>
                      <w:szCs w:val="21"/>
                    </w:rPr>
                  </w:pP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供暖系统</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生产车间不供暖，办公室空调供暖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环保工程</w:t>
                  </w: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废气处理</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生产过程中切割、封底、封口工序产生的液化石油气废气（SO</w:t>
                  </w:r>
                  <w:r>
                    <w:rPr>
                      <w:rFonts w:hint="default"/>
                      <w:sz w:val="21"/>
                      <w:szCs w:val="21"/>
                      <w:vertAlign w:val="subscript"/>
                    </w:rPr>
                    <w:t>2</w:t>
                  </w:r>
                  <w:r>
                    <w:rPr>
                      <w:rFonts w:hint="default"/>
                      <w:sz w:val="21"/>
                      <w:szCs w:val="21"/>
                    </w:rPr>
                    <w:t>、NO</w:t>
                  </w:r>
                  <w:r>
                    <w:rPr>
                      <w:rFonts w:hint="default"/>
                      <w:sz w:val="21"/>
                      <w:szCs w:val="21"/>
                      <w:vertAlign w:val="subscript"/>
                    </w:rPr>
                    <w:t>X</w:t>
                  </w:r>
                  <w:r>
                    <w:rPr>
                      <w:rFonts w:hint="default"/>
                      <w:sz w:val="21"/>
                      <w:szCs w:val="21"/>
                    </w:rPr>
                    <w:t>、颗粒物）无组织排放；加强厂区绿化，通过绿化吸收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continue"/>
                  <w:tcBorders>
                    <w:tl2br w:val="nil"/>
                    <w:tr2bl w:val="nil"/>
                  </w:tcBorders>
                  <w:vAlign w:val="center"/>
                </w:tcPr>
                <w:p>
                  <w:pPr>
                    <w:adjustRightInd w:val="0"/>
                    <w:snapToGrid w:val="0"/>
                    <w:jc w:val="center"/>
                    <w:rPr>
                      <w:rFonts w:hint="default"/>
                      <w:sz w:val="21"/>
                      <w:szCs w:val="21"/>
                    </w:rPr>
                  </w:pP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废水处理</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生活污水经旱厕暂存后用作周边农田农肥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continue"/>
                  <w:tcBorders>
                    <w:tl2br w:val="nil"/>
                    <w:tr2bl w:val="nil"/>
                  </w:tcBorders>
                  <w:vAlign w:val="center"/>
                </w:tcPr>
                <w:p>
                  <w:pPr>
                    <w:adjustRightInd w:val="0"/>
                    <w:snapToGrid w:val="0"/>
                    <w:jc w:val="center"/>
                    <w:rPr>
                      <w:rFonts w:hint="default"/>
                      <w:sz w:val="21"/>
                      <w:szCs w:val="21"/>
                    </w:rPr>
                  </w:pP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固废处理</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下脚料、不合格产品由玻璃管生产厂家回收利用；沉淀池中产生的沉渣暂存于垃圾桶内，由环卫部门定期清运；生活垃圾暂存于厂区垃圾桶内，由环卫部门定期清运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2" w:type="pct"/>
                  <w:vMerge w:val="continue"/>
                  <w:tcBorders>
                    <w:tl2br w:val="nil"/>
                    <w:tr2bl w:val="nil"/>
                  </w:tcBorders>
                  <w:vAlign w:val="center"/>
                </w:tcPr>
                <w:p>
                  <w:pPr>
                    <w:adjustRightInd w:val="0"/>
                    <w:snapToGrid w:val="0"/>
                    <w:jc w:val="center"/>
                    <w:rPr>
                      <w:rFonts w:hint="default"/>
                      <w:sz w:val="21"/>
                      <w:szCs w:val="21"/>
                    </w:rPr>
                  </w:pPr>
                </w:p>
              </w:tc>
              <w:tc>
                <w:tcPr>
                  <w:tcW w:w="800" w:type="pct"/>
                  <w:tcBorders>
                    <w:tl2br w:val="nil"/>
                    <w:tr2bl w:val="nil"/>
                  </w:tcBorders>
                  <w:vAlign w:val="center"/>
                </w:tcPr>
                <w:p>
                  <w:pPr>
                    <w:adjustRightInd w:val="0"/>
                    <w:snapToGrid w:val="0"/>
                    <w:jc w:val="center"/>
                    <w:rPr>
                      <w:rFonts w:hint="default"/>
                      <w:sz w:val="21"/>
                      <w:szCs w:val="21"/>
                    </w:rPr>
                  </w:pPr>
                  <w:r>
                    <w:rPr>
                      <w:rFonts w:hint="default"/>
                      <w:sz w:val="21"/>
                      <w:szCs w:val="21"/>
                    </w:rPr>
                    <w:t>噪声治理</w:t>
                  </w:r>
                </w:p>
              </w:tc>
              <w:tc>
                <w:tcPr>
                  <w:tcW w:w="3466" w:type="pct"/>
                  <w:tcBorders>
                    <w:tl2br w:val="nil"/>
                    <w:tr2bl w:val="nil"/>
                  </w:tcBorders>
                  <w:vAlign w:val="center"/>
                </w:tcPr>
                <w:p>
                  <w:pPr>
                    <w:adjustRightInd w:val="0"/>
                    <w:snapToGrid w:val="0"/>
                    <w:jc w:val="center"/>
                    <w:rPr>
                      <w:rFonts w:hint="default"/>
                      <w:sz w:val="21"/>
                      <w:szCs w:val="21"/>
                    </w:rPr>
                  </w:pPr>
                  <w:r>
                    <w:rPr>
                      <w:rFonts w:hint="default"/>
                      <w:sz w:val="21"/>
                      <w:szCs w:val="21"/>
                    </w:rPr>
                    <w:t>设备放置在厂房内，安装时加防震垫，尽量远离厂界，安装隔声门窗，临界墙不设门窗</w:t>
                  </w:r>
                </w:p>
              </w:tc>
            </w:tr>
          </w:tbl>
          <w:p>
            <w:pPr>
              <w:spacing w:line="360" w:lineRule="auto"/>
              <w:jc w:val="center"/>
              <w:rPr>
                <w:rFonts w:hint="default"/>
                <w:sz w:val="24"/>
                <w:szCs w:val="24"/>
                <w:lang w:eastAsia="zh-CN"/>
              </w:rPr>
            </w:pPr>
            <w:r>
              <w:rPr>
                <w:rFonts w:hint="eastAsia"/>
                <w:sz w:val="24"/>
                <w:szCs w:val="24"/>
                <w:lang w:eastAsia="zh-CN"/>
              </w:rPr>
              <w:t>表</w:t>
            </w:r>
            <w:r>
              <w:rPr>
                <w:rFonts w:hint="eastAsia"/>
                <w:sz w:val="24"/>
                <w:szCs w:val="24"/>
                <w:lang w:val="en-US" w:eastAsia="zh-CN"/>
              </w:rPr>
              <w:t>2-2 技改</w:t>
            </w:r>
            <w:r>
              <w:rPr>
                <w:rFonts w:hint="default"/>
                <w:sz w:val="24"/>
                <w:szCs w:val="24"/>
                <w:lang w:eastAsia="zh-CN"/>
              </w:rPr>
              <w:t>项目基本组成一览表</w:t>
            </w:r>
          </w:p>
          <w:tbl>
            <w:tblPr>
              <w:tblStyle w:val="1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079"/>
              <w:gridCol w:w="4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vAlign w:val="center"/>
                </w:tcPr>
                <w:p>
                  <w:pPr>
                    <w:adjustRightInd w:val="0"/>
                    <w:snapToGrid w:val="0"/>
                    <w:jc w:val="center"/>
                    <w:rPr>
                      <w:rFonts w:hint="default"/>
                      <w:sz w:val="21"/>
                      <w:szCs w:val="21"/>
                    </w:rPr>
                  </w:pPr>
                  <w:r>
                    <w:rPr>
                      <w:rFonts w:hint="default"/>
                      <w:sz w:val="21"/>
                      <w:szCs w:val="21"/>
                    </w:rPr>
                    <w:t>工程名称</w:t>
                  </w:r>
                </w:p>
              </w:tc>
              <w:tc>
                <w:tcPr>
                  <w:tcW w:w="4329" w:type="pct"/>
                  <w:gridSpan w:val="2"/>
                  <w:tcBorders>
                    <w:tl2br w:val="nil"/>
                    <w:tr2bl w:val="nil"/>
                  </w:tcBorders>
                  <w:vAlign w:val="center"/>
                </w:tcPr>
                <w:p>
                  <w:pPr>
                    <w:adjustRightInd w:val="0"/>
                    <w:snapToGrid w:val="0"/>
                    <w:jc w:val="center"/>
                    <w:rPr>
                      <w:rFonts w:hint="default"/>
                      <w:sz w:val="21"/>
                      <w:szCs w:val="21"/>
                      <w:lang w:val="en-US" w:eastAsia="zh-CN"/>
                    </w:rPr>
                  </w:pPr>
                  <w:r>
                    <w:rPr>
                      <w:rFonts w:hint="default"/>
                      <w:sz w:val="21"/>
                      <w:szCs w:val="21"/>
                    </w:rPr>
                    <w:t>工程规模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主体工程</w:t>
                  </w: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北车间</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砖混结构，一层，建筑面积500m</w:t>
                  </w:r>
                  <w:r>
                    <w:rPr>
                      <w:rFonts w:hint="default"/>
                      <w:sz w:val="21"/>
                      <w:szCs w:val="21"/>
                      <w:vertAlign w:val="superscript"/>
                    </w:rPr>
                    <w:t>2</w:t>
                  </w:r>
                  <w:r>
                    <w:rPr>
                      <w:rFonts w:hint="default"/>
                      <w:sz w:val="21"/>
                      <w:szCs w:val="21"/>
                    </w:rPr>
                    <w:t>，主要用于压颈、</w:t>
                  </w:r>
                  <w:r>
                    <w:rPr>
                      <w:rFonts w:hint="eastAsia"/>
                      <w:sz w:val="21"/>
                      <w:szCs w:val="21"/>
                      <w:lang w:eastAsia="zh-CN"/>
                    </w:rPr>
                    <w:t>退火、</w:t>
                  </w:r>
                  <w:r>
                    <w:rPr>
                      <w:rFonts w:hint="default"/>
                      <w:sz w:val="21"/>
                      <w:szCs w:val="21"/>
                    </w:rPr>
                    <w:t>封口、清洁、检测等工序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西车间</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轻钢结构，一层，建筑面积350m</w:t>
                  </w:r>
                  <w:r>
                    <w:rPr>
                      <w:rFonts w:hint="default"/>
                      <w:sz w:val="21"/>
                      <w:szCs w:val="21"/>
                      <w:vertAlign w:val="superscript"/>
                    </w:rPr>
                    <w:t>2</w:t>
                  </w:r>
                  <w:r>
                    <w:rPr>
                      <w:rFonts w:hint="default"/>
                      <w:sz w:val="21"/>
                      <w:szCs w:val="21"/>
                    </w:rPr>
                    <w:t>，主要用于原料储存，下料、底部处理等工序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vAlign w:val="center"/>
                </w:tcPr>
                <w:p>
                  <w:pPr>
                    <w:adjustRightInd w:val="0"/>
                    <w:snapToGrid w:val="0"/>
                    <w:jc w:val="center"/>
                    <w:rPr>
                      <w:rFonts w:hint="default"/>
                      <w:sz w:val="21"/>
                      <w:szCs w:val="21"/>
                    </w:rPr>
                  </w:pPr>
                  <w:r>
                    <w:rPr>
                      <w:rFonts w:hint="default"/>
                      <w:sz w:val="21"/>
                      <w:szCs w:val="21"/>
                    </w:rPr>
                    <w:t>辅助工程</w:t>
                  </w: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办公室</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砖混结构，一层，建筑面积约100m</w:t>
                  </w:r>
                  <w:r>
                    <w:rPr>
                      <w:rFonts w:hint="default"/>
                      <w:sz w:val="21"/>
                      <w:szCs w:val="21"/>
                      <w:vertAlign w:val="superscript"/>
                    </w:rPr>
                    <w:t>2</w:t>
                  </w:r>
                  <w:r>
                    <w:rPr>
                      <w:rFonts w:hint="default"/>
                      <w:sz w:val="21"/>
                      <w:szCs w:val="21"/>
                    </w:rPr>
                    <w:t>，用于行政办公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0" w:type="pct"/>
                  <w:vMerge w:val="restart"/>
                  <w:tcBorders>
                    <w:tl2br w:val="nil"/>
                    <w:tr2bl w:val="nil"/>
                  </w:tcBorders>
                  <w:vAlign w:val="center"/>
                </w:tcPr>
                <w:p>
                  <w:pPr>
                    <w:adjustRightInd w:val="0"/>
                    <w:snapToGrid w:val="0"/>
                    <w:jc w:val="center"/>
                    <w:rPr>
                      <w:rFonts w:hint="default"/>
                      <w:sz w:val="21"/>
                      <w:szCs w:val="21"/>
                      <w:lang w:eastAsia="zh-CN"/>
                    </w:rPr>
                  </w:pPr>
                  <w:r>
                    <w:rPr>
                      <w:rFonts w:hint="default"/>
                      <w:sz w:val="21"/>
                      <w:szCs w:val="21"/>
                      <w:lang w:eastAsia="zh-CN"/>
                    </w:rPr>
                    <w:t>储运工程</w:t>
                  </w:r>
                </w:p>
              </w:tc>
              <w:tc>
                <w:tcPr>
                  <w:tcW w:w="1293"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仓库</w:t>
                  </w:r>
                </w:p>
              </w:tc>
              <w:tc>
                <w:tcPr>
                  <w:tcW w:w="3036"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砖混结构，位于厂区南侧，一层，建筑面积200m</w:t>
                  </w:r>
                  <w:r>
                    <w:rPr>
                      <w:rFonts w:hint="default"/>
                      <w:sz w:val="21"/>
                      <w:szCs w:val="21"/>
                      <w:vertAlign w:val="superscript"/>
                    </w:rPr>
                    <w:t>2</w:t>
                  </w:r>
                  <w:r>
                    <w:rPr>
                      <w:rFonts w:hint="default"/>
                      <w:sz w:val="21"/>
                      <w:szCs w:val="21"/>
                    </w:rPr>
                    <w:t>，用于包装工序及存储成品玻璃杯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vMerge w:val="continue"/>
                  <w:tcBorders>
                    <w:tl2br w:val="nil"/>
                    <w:tr2bl w:val="nil"/>
                  </w:tcBorders>
                  <w:vAlign w:val="center"/>
                </w:tcPr>
                <w:p>
                  <w:pPr>
                    <w:adjustRightInd w:val="0"/>
                    <w:snapToGrid w:val="0"/>
                    <w:jc w:val="center"/>
                    <w:rPr>
                      <w:rFonts w:hint="default"/>
                      <w:sz w:val="21"/>
                      <w:szCs w:val="21"/>
                    </w:rPr>
                  </w:pPr>
                </w:p>
              </w:tc>
              <w:tc>
                <w:tcPr>
                  <w:tcW w:w="3036" w:type="pct"/>
                  <w:vMerge w:val="continue"/>
                  <w:tcBorders>
                    <w:tl2br w:val="nil"/>
                    <w:tr2bl w:val="nil"/>
                  </w:tcBorders>
                  <w:vAlign w:val="center"/>
                </w:tcPr>
                <w:p>
                  <w:pPr>
                    <w:adjustRightInd w:val="0"/>
                    <w:snapToGrid w:val="0"/>
                    <w:jc w:val="center"/>
                    <w:rPr>
                      <w:rFonts w:hint="default"/>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液化石油气及液氧暂存区</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一座，位于西车间东侧隔棚中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公用工程</w:t>
                  </w: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供水系统</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用水量增加，用水量为</w:t>
                  </w:r>
                  <w:r>
                    <w:rPr>
                      <w:rFonts w:hint="eastAsia"/>
                      <w:sz w:val="21"/>
                      <w:szCs w:val="21"/>
                      <w:lang w:eastAsia="zh-CN"/>
                    </w:rPr>
                    <w:t>197.52</w:t>
                  </w:r>
                  <w:r>
                    <w:rPr>
                      <w:rFonts w:hint="default"/>
                      <w:sz w:val="21"/>
                      <w:szCs w:val="21"/>
                    </w:rPr>
                    <w:t>t/a，由萌二村自来水管网提供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供电系统</w:t>
                  </w:r>
                </w:p>
              </w:tc>
              <w:tc>
                <w:tcPr>
                  <w:tcW w:w="3036" w:type="pct"/>
                  <w:tcBorders>
                    <w:tl2br w:val="nil"/>
                    <w:tr2bl w:val="nil"/>
                  </w:tcBorders>
                  <w:vAlign w:val="center"/>
                </w:tcPr>
                <w:p>
                  <w:pPr>
                    <w:wordWrap w:val="0"/>
                    <w:adjustRightInd w:val="0"/>
                    <w:snapToGrid w:val="0"/>
                    <w:jc w:val="center"/>
                    <w:rPr>
                      <w:rFonts w:hint="default"/>
                      <w:sz w:val="21"/>
                      <w:szCs w:val="21"/>
                    </w:rPr>
                  </w:pPr>
                  <w:r>
                    <w:rPr>
                      <w:rFonts w:hint="default"/>
                      <w:sz w:val="21"/>
                      <w:szCs w:val="21"/>
                    </w:rPr>
                    <w:t>因产品规格变大，加工用电量增加，用电量为10万kW·h/a，由淄博市文昌湖旅游度假区萌水镇供电所提供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液化石油气</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用气量为30t/a，由淄博市周村液化石油气服务中心提供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供暖系统</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生产车间不供暖，办公室空调供暖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环保工程</w:t>
                  </w: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废气处理</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生产过程中液化石油气燃烧产生的SO</w:t>
                  </w:r>
                  <w:r>
                    <w:rPr>
                      <w:rFonts w:hint="default"/>
                      <w:sz w:val="21"/>
                      <w:szCs w:val="21"/>
                      <w:vertAlign w:val="subscript"/>
                    </w:rPr>
                    <w:t>2</w:t>
                  </w:r>
                  <w:r>
                    <w:rPr>
                      <w:rFonts w:hint="default"/>
                      <w:sz w:val="21"/>
                      <w:szCs w:val="21"/>
                    </w:rPr>
                    <w:t>、NO</w:t>
                  </w:r>
                  <w:r>
                    <w:rPr>
                      <w:rFonts w:hint="default"/>
                      <w:sz w:val="21"/>
                      <w:szCs w:val="21"/>
                      <w:vertAlign w:val="subscript"/>
                    </w:rPr>
                    <w:t>X</w:t>
                  </w:r>
                  <w:r>
                    <w:rPr>
                      <w:rFonts w:hint="default"/>
                      <w:sz w:val="21"/>
                      <w:szCs w:val="21"/>
                    </w:rPr>
                    <w:t>、颗粒物在密闭车间内无组织排放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废水处理</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生活污水经旱厕暂存后用作周边农田农肥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固废处理</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增设一个一般固废暂存区，一个危废暂存间。下脚料、不合格产品暂存于一般固废暂存区，由玻璃管生产厂家回收利用；废包装材料暂存于一般固废暂存区，定期外售；污泥、废擦布暂存于垃圾桶内，由环卫部门定期清运；生活垃圾暂存于厂区垃圾桶内，由环卫部门定期清运；含油废抹布（HW49，900-041-49）暂存于厂区垃圾桶内，由环卫部门定期清运；废油桶（HW08，900-249-08）暂存于危废暂存间，由有危废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vMerge w:val="continue"/>
                  <w:tcBorders>
                    <w:tl2br w:val="nil"/>
                    <w:tr2bl w:val="nil"/>
                  </w:tcBorders>
                  <w:vAlign w:val="center"/>
                </w:tcPr>
                <w:p>
                  <w:pPr>
                    <w:adjustRightInd w:val="0"/>
                    <w:snapToGrid w:val="0"/>
                    <w:jc w:val="center"/>
                    <w:rPr>
                      <w:rFonts w:hint="default"/>
                      <w:sz w:val="21"/>
                      <w:szCs w:val="21"/>
                    </w:rPr>
                  </w:pPr>
                </w:p>
              </w:tc>
              <w:tc>
                <w:tcPr>
                  <w:tcW w:w="1293" w:type="pct"/>
                  <w:tcBorders>
                    <w:tl2br w:val="nil"/>
                    <w:tr2bl w:val="nil"/>
                  </w:tcBorders>
                  <w:vAlign w:val="center"/>
                </w:tcPr>
                <w:p>
                  <w:pPr>
                    <w:adjustRightInd w:val="0"/>
                    <w:snapToGrid w:val="0"/>
                    <w:jc w:val="center"/>
                    <w:rPr>
                      <w:rFonts w:hint="default"/>
                      <w:sz w:val="21"/>
                      <w:szCs w:val="21"/>
                    </w:rPr>
                  </w:pPr>
                  <w:r>
                    <w:rPr>
                      <w:rFonts w:hint="default"/>
                      <w:sz w:val="21"/>
                      <w:szCs w:val="21"/>
                    </w:rPr>
                    <w:t>噪声治理</w:t>
                  </w:r>
                </w:p>
              </w:tc>
              <w:tc>
                <w:tcPr>
                  <w:tcW w:w="3036" w:type="pct"/>
                  <w:tcBorders>
                    <w:tl2br w:val="nil"/>
                    <w:tr2bl w:val="nil"/>
                  </w:tcBorders>
                  <w:vAlign w:val="center"/>
                </w:tcPr>
                <w:p>
                  <w:pPr>
                    <w:adjustRightInd w:val="0"/>
                    <w:snapToGrid w:val="0"/>
                    <w:jc w:val="center"/>
                    <w:rPr>
                      <w:rFonts w:hint="default"/>
                      <w:sz w:val="21"/>
                      <w:szCs w:val="21"/>
                    </w:rPr>
                  </w:pPr>
                  <w:r>
                    <w:rPr>
                      <w:rFonts w:hint="default"/>
                      <w:sz w:val="21"/>
                      <w:szCs w:val="21"/>
                    </w:rPr>
                    <w:t>噪声设备全部置于生产车间内，并采取隔音门窗，设备加装减震设施，围墙隔音、衰减等措施</w:t>
                  </w:r>
                </w:p>
              </w:tc>
            </w:tr>
          </w:tbl>
          <w:p>
            <w:pPr>
              <w:spacing w:line="360" w:lineRule="auto"/>
              <w:jc w:val="left"/>
              <w:rPr>
                <w:rFonts w:hint="default"/>
                <w:sz w:val="24"/>
                <w:szCs w:val="24"/>
              </w:rPr>
            </w:pPr>
            <w:r>
              <w:rPr>
                <w:rFonts w:hint="default"/>
                <w:sz w:val="24"/>
                <w:szCs w:val="24"/>
              </w:rPr>
              <w:t>3、主要产品及产能</w:t>
            </w:r>
          </w:p>
          <w:p>
            <w:pPr>
              <w:jc w:val="center"/>
              <w:rPr>
                <w:rFonts w:hint="default"/>
                <w:sz w:val="24"/>
                <w:szCs w:val="24"/>
              </w:rPr>
            </w:pPr>
            <w:r>
              <w:rPr>
                <w:rFonts w:hint="default"/>
                <w:sz w:val="24"/>
                <w:szCs w:val="24"/>
              </w:rPr>
              <w:t>表2-</w:t>
            </w:r>
            <w:r>
              <w:rPr>
                <w:rFonts w:hint="eastAsia"/>
                <w:sz w:val="24"/>
                <w:szCs w:val="24"/>
                <w:lang w:val="en-US" w:eastAsia="zh-CN"/>
              </w:rPr>
              <w:t>3</w:t>
            </w:r>
            <w:r>
              <w:rPr>
                <w:rFonts w:hint="default"/>
                <w:sz w:val="24"/>
                <w:szCs w:val="24"/>
              </w:rPr>
              <w:t xml:space="preserve"> 主要产品及产能方案一览表</w:t>
            </w:r>
          </w:p>
          <w:tbl>
            <w:tblPr>
              <w:tblStyle w:val="19"/>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2008"/>
              <w:gridCol w:w="2010"/>
              <w:gridCol w:w="20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adjustRightInd w:val="0"/>
                    <w:snapToGrid w:val="0"/>
                    <w:jc w:val="center"/>
                    <w:rPr>
                      <w:rFonts w:hint="default"/>
                      <w:sz w:val="21"/>
                      <w:szCs w:val="21"/>
                    </w:rPr>
                  </w:pPr>
                  <w:r>
                    <w:rPr>
                      <w:rFonts w:hint="default"/>
                      <w:sz w:val="21"/>
                      <w:szCs w:val="21"/>
                    </w:rPr>
                    <w:t>序号</w:t>
                  </w:r>
                </w:p>
              </w:tc>
              <w:tc>
                <w:tcPr>
                  <w:tcW w:w="1249" w:type="pct"/>
                  <w:tcBorders>
                    <w:tl2br w:val="nil"/>
                    <w:tr2bl w:val="nil"/>
                  </w:tcBorders>
                  <w:vAlign w:val="center"/>
                </w:tcPr>
                <w:p>
                  <w:pPr>
                    <w:adjustRightInd w:val="0"/>
                    <w:snapToGrid w:val="0"/>
                    <w:jc w:val="center"/>
                    <w:rPr>
                      <w:rFonts w:hint="default"/>
                      <w:sz w:val="21"/>
                      <w:szCs w:val="21"/>
                    </w:rPr>
                  </w:pPr>
                  <w:r>
                    <w:rPr>
                      <w:rFonts w:hint="default"/>
                      <w:sz w:val="21"/>
                      <w:szCs w:val="21"/>
                    </w:rPr>
                    <w:t>名称</w:t>
                  </w:r>
                </w:p>
              </w:tc>
              <w:tc>
                <w:tcPr>
                  <w:tcW w:w="1250" w:type="pct"/>
                  <w:tcBorders>
                    <w:tl2br w:val="nil"/>
                    <w:tr2bl w:val="nil"/>
                  </w:tcBorders>
                  <w:vAlign w:val="center"/>
                </w:tcPr>
                <w:p>
                  <w:pPr>
                    <w:adjustRightInd w:val="0"/>
                    <w:snapToGrid w:val="0"/>
                    <w:jc w:val="center"/>
                    <w:rPr>
                      <w:rFonts w:hint="default"/>
                      <w:sz w:val="21"/>
                      <w:szCs w:val="21"/>
                    </w:rPr>
                  </w:pPr>
                  <w:r>
                    <w:rPr>
                      <w:rFonts w:hint="default"/>
                      <w:sz w:val="21"/>
                      <w:szCs w:val="21"/>
                    </w:rPr>
                    <w:t>产量</w:t>
                  </w:r>
                </w:p>
              </w:tc>
              <w:tc>
                <w:tcPr>
                  <w:tcW w:w="1251" w:type="pct"/>
                  <w:tcBorders>
                    <w:tl2br w:val="nil"/>
                    <w:tr2bl w:val="nil"/>
                  </w:tcBorders>
                  <w:vAlign w:val="center"/>
                </w:tcPr>
                <w:p>
                  <w:pPr>
                    <w:adjustRightInd w:val="0"/>
                    <w:snapToGrid w:val="0"/>
                    <w:jc w:val="center"/>
                    <w:rPr>
                      <w:rFonts w:hint="default"/>
                      <w:sz w:val="21"/>
                      <w:szCs w:val="21"/>
                    </w:rPr>
                  </w:pPr>
                  <w:r>
                    <w:rPr>
                      <w:rFonts w:hint="default"/>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pPr>
                    <w:adjustRightInd w:val="0"/>
                    <w:snapToGrid w:val="0"/>
                    <w:jc w:val="center"/>
                    <w:rPr>
                      <w:rFonts w:hint="default"/>
                      <w:sz w:val="21"/>
                      <w:szCs w:val="21"/>
                      <w:lang w:eastAsia="zh-CN"/>
                    </w:rPr>
                  </w:pPr>
                  <w:r>
                    <w:rPr>
                      <w:rFonts w:hint="default"/>
                      <w:sz w:val="21"/>
                      <w:szCs w:val="21"/>
                      <w:lang w:eastAsia="zh-CN"/>
                    </w:rPr>
                    <w:t>现有项目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1249" w:type="pct"/>
                  <w:tcBorders>
                    <w:tl2br w:val="nil"/>
                    <w:tr2bl w:val="nil"/>
                  </w:tcBorders>
                  <w:vAlign w:val="center"/>
                </w:tcPr>
                <w:p>
                  <w:pPr>
                    <w:adjustRightInd w:val="0"/>
                    <w:snapToGrid w:val="0"/>
                    <w:jc w:val="center"/>
                    <w:rPr>
                      <w:rFonts w:hint="default"/>
                      <w:sz w:val="21"/>
                      <w:szCs w:val="21"/>
                    </w:rPr>
                  </w:pPr>
                  <w:r>
                    <w:rPr>
                      <w:rFonts w:hint="default"/>
                      <w:sz w:val="21"/>
                      <w:szCs w:val="21"/>
                    </w:rPr>
                    <w:t>玻璃杯</w:t>
                  </w:r>
                </w:p>
              </w:tc>
              <w:tc>
                <w:tcPr>
                  <w:tcW w:w="1250" w:type="pct"/>
                  <w:tcBorders>
                    <w:tl2br w:val="nil"/>
                    <w:tr2bl w:val="nil"/>
                  </w:tcBorders>
                  <w:vAlign w:val="center"/>
                </w:tcPr>
                <w:p>
                  <w:pPr>
                    <w:adjustRightInd w:val="0"/>
                    <w:snapToGrid w:val="0"/>
                    <w:jc w:val="center"/>
                    <w:rPr>
                      <w:rFonts w:hint="default"/>
                      <w:sz w:val="21"/>
                      <w:szCs w:val="21"/>
                    </w:rPr>
                  </w:pPr>
                  <w:r>
                    <w:rPr>
                      <w:rFonts w:hint="default"/>
                      <w:sz w:val="21"/>
                      <w:szCs w:val="21"/>
                    </w:rPr>
                    <w:t>80万个/a</w:t>
                  </w:r>
                </w:p>
              </w:tc>
              <w:tc>
                <w:tcPr>
                  <w:tcW w:w="1251" w:type="pct"/>
                  <w:tcBorders>
                    <w:tl2br w:val="nil"/>
                    <w:tr2bl w:val="nil"/>
                  </w:tcBorders>
                  <w:vAlign w:val="center"/>
                </w:tcPr>
                <w:p>
                  <w:pPr>
                    <w:adjustRightInd w:val="0"/>
                    <w:snapToGrid w:val="0"/>
                    <w:jc w:val="center"/>
                    <w:rPr>
                      <w:rFonts w:hint="default"/>
                      <w:sz w:val="21"/>
                      <w:szCs w:val="21"/>
                    </w:rPr>
                  </w:pPr>
                  <w:r>
                    <w:rPr>
                      <w:rFonts w:hint="default"/>
                      <w:sz w:val="21"/>
                      <w:szCs w:val="21"/>
                    </w:rPr>
                    <w:t>直径5.8~6.6cm，高5~10cm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pPr>
                    <w:adjustRightInd w:val="0"/>
                    <w:snapToGrid w:val="0"/>
                    <w:jc w:val="center"/>
                    <w:rPr>
                      <w:rFonts w:hint="default"/>
                      <w:sz w:val="21"/>
                      <w:szCs w:val="21"/>
                      <w:lang w:eastAsia="zh-CN"/>
                    </w:rPr>
                  </w:pPr>
                  <w:r>
                    <w:rPr>
                      <w:rFonts w:hint="eastAsia"/>
                      <w:sz w:val="21"/>
                      <w:szCs w:val="21"/>
                      <w:lang w:eastAsia="zh-CN"/>
                    </w:rPr>
                    <w:t>技改后全厂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1249" w:type="pct"/>
                  <w:tcBorders>
                    <w:tl2br w:val="nil"/>
                    <w:tr2bl w:val="nil"/>
                  </w:tcBorders>
                  <w:vAlign w:val="center"/>
                </w:tcPr>
                <w:p>
                  <w:pPr>
                    <w:adjustRightInd w:val="0"/>
                    <w:snapToGrid w:val="0"/>
                    <w:jc w:val="center"/>
                    <w:rPr>
                      <w:rFonts w:hint="default"/>
                      <w:sz w:val="21"/>
                      <w:szCs w:val="21"/>
                    </w:rPr>
                  </w:pPr>
                  <w:r>
                    <w:rPr>
                      <w:rFonts w:hint="default"/>
                      <w:sz w:val="21"/>
                      <w:szCs w:val="21"/>
                    </w:rPr>
                    <w:t>玻璃杯</w:t>
                  </w:r>
                </w:p>
              </w:tc>
              <w:tc>
                <w:tcPr>
                  <w:tcW w:w="1250" w:type="pct"/>
                  <w:tcBorders>
                    <w:tl2br w:val="nil"/>
                    <w:tr2bl w:val="nil"/>
                  </w:tcBorders>
                  <w:vAlign w:val="center"/>
                </w:tcPr>
                <w:p>
                  <w:pPr>
                    <w:adjustRightInd w:val="0"/>
                    <w:snapToGrid w:val="0"/>
                    <w:jc w:val="center"/>
                    <w:rPr>
                      <w:rFonts w:hint="default"/>
                      <w:sz w:val="21"/>
                      <w:szCs w:val="21"/>
                    </w:rPr>
                  </w:pPr>
                  <w:r>
                    <w:rPr>
                      <w:rFonts w:hint="default"/>
                      <w:sz w:val="21"/>
                      <w:szCs w:val="21"/>
                    </w:rPr>
                    <w:t>80万个/a</w:t>
                  </w:r>
                </w:p>
              </w:tc>
              <w:tc>
                <w:tcPr>
                  <w:tcW w:w="1251" w:type="pct"/>
                  <w:tcBorders>
                    <w:tl2br w:val="nil"/>
                    <w:tr2bl w:val="nil"/>
                  </w:tcBorders>
                  <w:vAlign w:val="center"/>
                </w:tcPr>
                <w:p>
                  <w:pPr>
                    <w:adjustRightInd w:val="0"/>
                    <w:snapToGrid w:val="0"/>
                    <w:jc w:val="center"/>
                    <w:rPr>
                      <w:rFonts w:hint="default"/>
                      <w:sz w:val="21"/>
                      <w:szCs w:val="21"/>
                    </w:rPr>
                  </w:pPr>
                  <w:r>
                    <w:rPr>
                      <w:rFonts w:hint="default"/>
                      <w:sz w:val="21"/>
                      <w:szCs w:val="21"/>
                    </w:rPr>
                    <w:t>直径6.6~12cm，高15~25cm</w:t>
                  </w:r>
                </w:p>
              </w:tc>
            </w:tr>
          </w:tbl>
          <w:p>
            <w:pPr>
              <w:adjustRightInd w:val="0"/>
              <w:snapToGrid w:val="0"/>
              <w:spacing w:line="360" w:lineRule="auto"/>
              <w:rPr>
                <w:rFonts w:hint="default"/>
                <w:sz w:val="24"/>
                <w:szCs w:val="24"/>
              </w:rPr>
            </w:pPr>
            <w:r>
              <w:rPr>
                <w:rFonts w:hint="default"/>
                <w:sz w:val="24"/>
                <w:szCs w:val="24"/>
              </w:rPr>
              <w:t>4、主要生产单元、主要工艺、生产设施及设施参数</w:t>
            </w:r>
          </w:p>
          <w:p>
            <w:pPr>
              <w:pStyle w:val="26"/>
              <w:spacing w:beforeLines="0" w:afterLines="0" w:line="240" w:lineRule="auto"/>
              <w:rPr>
                <w:rFonts w:hint="default"/>
                <w:sz w:val="24"/>
                <w:szCs w:val="24"/>
              </w:rPr>
            </w:pPr>
            <w:r>
              <w:rPr>
                <w:rFonts w:hint="default"/>
                <w:sz w:val="24"/>
                <w:szCs w:val="24"/>
              </w:rPr>
              <w:t>表2-</w:t>
            </w:r>
            <w:r>
              <w:rPr>
                <w:rFonts w:hint="eastAsia"/>
                <w:sz w:val="24"/>
                <w:szCs w:val="24"/>
                <w:lang w:val="en-US" w:eastAsia="zh-CN"/>
              </w:rPr>
              <w:t>4</w:t>
            </w:r>
            <w:r>
              <w:rPr>
                <w:rFonts w:hint="default"/>
                <w:sz w:val="24"/>
                <w:szCs w:val="24"/>
              </w:rPr>
              <w:t xml:space="preserve"> 主要生产单元、主要工艺、生产设施</w:t>
            </w:r>
          </w:p>
          <w:tbl>
            <w:tblPr>
              <w:tblStyle w:val="19"/>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793"/>
              <w:gridCol w:w="1254"/>
              <w:gridCol w:w="920"/>
              <w:gridCol w:w="1235"/>
              <w:gridCol w:w="1132"/>
              <w:gridCol w:w="11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序号</w:t>
                  </w:r>
                </w:p>
              </w:tc>
              <w:tc>
                <w:tcPr>
                  <w:tcW w:w="1115"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设备名称</w:t>
                  </w:r>
                </w:p>
              </w:tc>
              <w:tc>
                <w:tcPr>
                  <w:tcW w:w="1352" w:type="pct"/>
                  <w:gridSpan w:val="2"/>
                  <w:tcBorders>
                    <w:tl2br w:val="nil"/>
                    <w:tr2bl w:val="nil"/>
                  </w:tcBorders>
                  <w:vAlign w:val="center"/>
                </w:tcPr>
                <w:p>
                  <w:pPr>
                    <w:adjustRightInd w:val="0"/>
                    <w:snapToGrid w:val="0"/>
                    <w:jc w:val="center"/>
                    <w:rPr>
                      <w:rFonts w:hint="default"/>
                      <w:sz w:val="21"/>
                      <w:szCs w:val="21"/>
                      <w:lang w:eastAsia="zh-CN"/>
                    </w:rPr>
                  </w:pPr>
                  <w:r>
                    <w:rPr>
                      <w:rFonts w:hint="default"/>
                      <w:sz w:val="21"/>
                      <w:szCs w:val="21"/>
                      <w:lang w:eastAsia="zh-CN"/>
                    </w:rPr>
                    <w:t>现有项目</w:t>
                  </w:r>
                </w:p>
              </w:tc>
              <w:tc>
                <w:tcPr>
                  <w:tcW w:w="1472" w:type="pct"/>
                  <w:gridSpan w:val="2"/>
                  <w:tcBorders>
                    <w:tl2br w:val="nil"/>
                    <w:tr2bl w:val="nil"/>
                  </w:tcBorders>
                  <w:vAlign w:val="center"/>
                </w:tcPr>
                <w:p>
                  <w:pPr>
                    <w:adjustRightInd w:val="0"/>
                    <w:snapToGrid w:val="0"/>
                    <w:jc w:val="center"/>
                    <w:rPr>
                      <w:rFonts w:hint="default"/>
                      <w:sz w:val="21"/>
                      <w:szCs w:val="21"/>
                    </w:rPr>
                  </w:pPr>
                  <w:r>
                    <w:rPr>
                      <w:rFonts w:hint="eastAsia"/>
                      <w:sz w:val="21"/>
                      <w:szCs w:val="21"/>
                      <w:lang w:eastAsia="zh-CN"/>
                    </w:rPr>
                    <w:t>技改</w:t>
                  </w:r>
                  <w:r>
                    <w:rPr>
                      <w:rFonts w:hint="default"/>
                      <w:sz w:val="21"/>
                      <w:szCs w:val="21"/>
                    </w:rPr>
                    <w:t>后全厂</w:t>
                  </w:r>
                </w:p>
              </w:tc>
              <w:tc>
                <w:tcPr>
                  <w:tcW w:w="744" w:type="pct"/>
                  <w:vMerge w:val="restart"/>
                  <w:tcBorders>
                    <w:tl2br w:val="nil"/>
                    <w:tr2bl w:val="nil"/>
                  </w:tcBorders>
                  <w:vAlign w:val="center"/>
                </w:tcPr>
                <w:p>
                  <w:pPr>
                    <w:adjustRightInd w:val="0"/>
                    <w:snapToGrid w:val="0"/>
                    <w:jc w:val="center"/>
                    <w:rPr>
                      <w:rFonts w:hint="default"/>
                      <w:sz w:val="21"/>
                      <w:szCs w:val="21"/>
                    </w:rPr>
                  </w:pPr>
                  <w:r>
                    <w:rPr>
                      <w:rFonts w:hint="default"/>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vMerge w:val="continue"/>
                  <w:tcBorders>
                    <w:tl2br w:val="nil"/>
                    <w:tr2bl w:val="nil"/>
                  </w:tcBorders>
                  <w:vAlign w:val="center"/>
                </w:tcPr>
                <w:p>
                  <w:pPr>
                    <w:adjustRightInd w:val="0"/>
                    <w:snapToGrid w:val="0"/>
                    <w:jc w:val="center"/>
                    <w:rPr>
                      <w:rFonts w:hint="default"/>
                      <w:sz w:val="21"/>
                      <w:szCs w:val="21"/>
                    </w:rPr>
                  </w:pPr>
                </w:p>
              </w:tc>
              <w:tc>
                <w:tcPr>
                  <w:tcW w:w="1115" w:type="pct"/>
                  <w:vMerge w:val="continue"/>
                  <w:tcBorders>
                    <w:tl2br w:val="nil"/>
                    <w:tr2bl w:val="nil"/>
                  </w:tcBorders>
                  <w:vAlign w:val="center"/>
                </w:tcPr>
                <w:p>
                  <w:pPr>
                    <w:adjustRightInd w:val="0"/>
                    <w:snapToGrid w:val="0"/>
                    <w:jc w:val="center"/>
                    <w:rPr>
                      <w:rFonts w:hint="default"/>
                      <w:sz w:val="21"/>
                      <w:szCs w:val="21"/>
                    </w:rPr>
                  </w:pP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型号</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数量台</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型号</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数量台</w:t>
                  </w:r>
                </w:p>
              </w:tc>
              <w:tc>
                <w:tcPr>
                  <w:tcW w:w="744" w:type="pct"/>
                  <w:vMerge w:val="continue"/>
                  <w:tcBorders>
                    <w:tl2br w:val="nil"/>
                    <w:tr2bl w:val="nil"/>
                  </w:tcBorders>
                  <w:vAlign w:val="center"/>
                </w:tcPr>
                <w:p>
                  <w:pPr>
                    <w:adjustRightInd w:val="0"/>
                    <w:snapToGrid w:val="0"/>
                    <w:jc w:val="center"/>
                    <w:rPr>
                      <w:rFonts w:hint="default"/>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封底机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SY315</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6</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SY315</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6</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2</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下料机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SY316</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0</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SY316</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3</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3</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烧底机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SY320</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0</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SY320</w:t>
                  </w:r>
                </w:p>
              </w:tc>
              <w:tc>
                <w:tcPr>
                  <w:tcW w:w="704" w:type="pct"/>
                  <w:tcBorders>
                    <w:tl2br w:val="nil"/>
                    <w:tr2bl w:val="nil"/>
                  </w:tcBorders>
                  <w:vAlign w:val="center"/>
                </w:tcPr>
                <w:p>
                  <w:pPr>
                    <w:adjustRightInd w:val="0"/>
                    <w:snapToGrid w:val="0"/>
                    <w:jc w:val="center"/>
                    <w:rPr>
                      <w:rFonts w:hint="default"/>
                      <w:sz w:val="21"/>
                      <w:szCs w:val="21"/>
                      <w:lang w:val="en-US" w:eastAsia="zh-CN"/>
                    </w:rPr>
                  </w:pPr>
                  <w:r>
                    <w:rPr>
                      <w:rFonts w:hint="default"/>
                      <w:sz w:val="21"/>
                      <w:szCs w:val="21"/>
                      <w:lang w:val="en-US" w:eastAsia="zh-CN"/>
                    </w:rPr>
                    <w:t>8</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4</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封口机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SY339</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8</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SY339</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10</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利旧8台，新增2台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5</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电炉箱</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QC-JW300</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8</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QC-JW300</w:t>
                  </w:r>
                </w:p>
              </w:tc>
              <w:tc>
                <w:tcPr>
                  <w:tcW w:w="704" w:type="pct"/>
                  <w:tcBorders>
                    <w:tl2br w:val="nil"/>
                    <w:tr2bl w:val="nil"/>
                  </w:tcBorders>
                  <w:vAlign w:val="center"/>
                </w:tcPr>
                <w:p>
                  <w:pPr>
                    <w:adjustRightInd w:val="0"/>
                    <w:snapToGrid w:val="0"/>
                    <w:jc w:val="center"/>
                    <w:rPr>
                      <w:rFonts w:hint="default"/>
                      <w:sz w:val="21"/>
                      <w:szCs w:val="21"/>
                      <w:lang w:eastAsia="zh-CN"/>
                    </w:rPr>
                  </w:pPr>
                  <w:r>
                    <w:rPr>
                      <w:rFonts w:hint="default"/>
                      <w:sz w:val="21"/>
                      <w:szCs w:val="21"/>
                      <w:lang w:val="en-US" w:eastAsia="zh-CN"/>
                    </w:rPr>
                    <w:t>8</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利旧8台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6</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清洗机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7</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压颈机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JK3380</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JK3380</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2</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利旧1台，新增1台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8</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甩干机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9</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擦杯机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0</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2</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10</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空压机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HET-80</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0</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HET-80</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3</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11</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割管机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SY312</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2</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SY312</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0</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淘汰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12</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磨底机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SY313</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6</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SY313</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0</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淘汰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15" w:type="pct"/>
                  <w:tcBorders>
                    <w:tl2br w:val="nil"/>
                    <w:tr2bl w:val="nil"/>
                  </w:tcBorders>
                  <w:vAlign w:val="center"/>
                </w:tcPr>
                <w:p>
                  <w:pPr>
                    <w:adjustRightInd w:val="0"/>
                    <w:snapToGrid w:val="0"/>
                    <w:jc w:val="center"/>
                    <w:rPr>
                      <w:rFonts w:hint="default"/>
                      <w:sz w:val="21"/>
                      <w:szCs w:val="21"/>
                    </w:rPr>
                  </w:pPr>
                  <w:r>
                    <w:rPr>
                      <w:rFonts w:hint="default"/>
                      <w:sz w:val="21"/>
                      <w:szCs w:val="21"/>
                    </w:rPr>
                    <w:t>13</w:t>
                  </w:r>
                </w:p>
              </w:tc>
              <w:tc>
                <w:tcPr>
                  <w:tcW w:w="1115" w:type="pct"/>
                  <w:tcBorders>
                    <w:tl2br w:val="nil"/>
                    <w:tr2bl w:val="nil"/>
                  </w:tcBorders>
                  <w:vAlign w:val="center"/>
                </w:tcPr>
                <w:p>
                  <w:pPr>
                    <w:adjustRightInd w:val="0"/>
                    <w:snapToGrid w:val="0"/>
                    <w:jc w:val="center"/>
                    <w:rPr>
                      <w:rFonts w:hint="default"/>
                      <w:sz w:val="21"/>
                      <w:szCs w:val="21"/>
                    </w:rPr>
                  </w:pPr>
                  <w:r>
                    <w:rPr>
                      <w:rFonts w:hint="default"/>
                      <w:sz w:val="21"/>
                      <w:szCs w:val="21"/>
                    </w:rPr>
                    <w:t>磨管机</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SY314</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1</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SY314</w:t>
                  </w:r>
                </w:p>
              </w:tc>
              <w:tc>
                <w:tcPr>
                  <w:tcW w:w="704" w:type="pct"/>
                  <w:tcBorders>
                    <w:tl2br w:val="nil"/>
                    <w:tr2bl w:val="nil"/>
                  </w:tcBorders>
                  <w:vAlign w:val="center"/>
                </w:tcPr>
                <w:p>
                  <w:pPr>
                    <w:adjustRightInd w:val="0"/>
                    <w:snapToGrid w:val="0"/>
                    <w:jc w:val="center"/>
                    <w:rPr>
                      <w:rFonts w:hint="default"/>
                      <w:sz w:val="21"/>
                      <w:szCs w:val="21"/>
                    </w:rPr>
                  </w:pPr>
                  <w:r>
                    <w:rPr>
                      <w:rFonts w:hint="default"/>
                      <w:sz w:val="21"/>
                      <w:szCs w:val="21"/>
                    </w:rPr>
                    <w:t>0</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淘汰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430" w:type="pct"/>
                  <w:gridSpan w:val="2"/>
                  <w:tcBorders>
                    <w:tl2br w:val="nil"/>
                    <w:tr2bl w:val="nil"/>
                  </w:tcBorders>
                  <w:vAlign w:val="center"/>
                </w:tcPr>
                <w:p>
                  <w:pPr>
                    <w:adjustRightInd w:val="0"/>
                    <w:snapToGrid w:val="0"/>
                    <w:jc w:val="center"/>
                    <w:rPr>
                      <w:rFonts w:hint="default"/>
                      <w:sz w:val="21"/>
                      <w:szCs w:val="21"/>
                    </w:rPr>
                  </w:pPr>
                  <w:r>
                    <w:rPr>
                      <w:rFonts w:hint="default"/>
                      <w:sz w:val="21"/>
                      <w:szCs w:val="21"/>
                    </w:rPr>
                    <w:t>总计</w:t>
                  </w:r>
                </w:p>
              </w:tc>
              <w:tc>
                <w:tcPr>
                  <w:tcW w:w="780"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c>
                <w:tcPr>
                  <w:tcW w:w="572" w:type="pct"/>
                  <w:tcBorders>
                    <w:tl2br w:val="nil"/>
                    <w:tr2bl w:val="nil"/>
                  </w:tcBorders>
                  <w:vAlign w:val="center"/>
                </w:tcPr>
                <w:p>
                  <w:pPr>
                    <w:adjustRightInd w:val="0"/>
                    <w:snapToGrid w:val="0"/>
                    <w:jc w:val="center"/>
                    <w:rPr>
                      <w:rFonts w:hint="default"/>
                      <w:sz w:val="21"/>
                      <w:szCs w:val="21"/>
                    </w:rPr>
                  </w:pPr>
                  <w:r>
                    <w:rPr>
                      <w:rFonts w:hint="default"/>
                      <w:sz w:val="21"/>
                      <w:szCs w:val="21"/>
                    </w:rPr>
                    <w:t>34</w:t>
                  </w:r>
                </w:p>
              </w:tc>
              <w:tc>
                <w:tcPr>
                  <w:tcW w:w="768"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c>
                <w:tcPr>
                  <w:tcW w:w="704" w:type="pct"/>
                  <w:tcBorders>
                    <w:tl2br w:val="nil"/>
                    <w:tr2bl w:val="nil"/>
                  </w:tcBorders>
                  <w:vAlign w:val="center"/>
                </w:tcPr>
                <w:p>
                  <w:pPr>
                    <w:adjustRightInd w:val="0"/>
                    <w:snapToGrid w:val="0"/>
                    <w:jc w:val="center"/>
                    <w:rPr>
                      <w:rFonts w:hint="default"/>
                      <w:sz w:val="21"/>
                      <w:szCs w:val="21"/>
                      <w:lang w:val="en-US" w:eastAsia="zh-CN"/>
                    </w:rPr>
                  </w:pPr>
                  <w:r>
                    <w:rPr>
                      <w:rFonts w:hint="default"/>
                      <w:sz w:val="21"/>
                      <w:szCs w:val="21"/>
                      <w:lang w:val="en-US" w:eastAsia="zh-CN"/>
                    </w:rPr>
                    <w:t>4</w:t>
                  </w:r>
                  <w:r>
                    <w:rPr>
                      <w:rFonts w:hint="eastAsia"/>
                      <w:sz w:val="21"/>
                      <w:szCs w:val="21"/>
                      <w:lang w:val="en-US" w:eastAsia="zh-CN"/>
                    </w:rPr>
                    <w:t>4</w:t>
                  </w:r>
                </w:p>
              </w:tc>
              <w:tc>
                <w:tcPr>
                  <w:tcW w:w="744" w:type="pct"/>
                  <w:tcBorders>
                    <w:tl2br w:val="nil"/>
                    <w:tr2bl w:val="nil"/>
                  </w:tcBorders>
                  <w:vAlign w:val="center"/>
                </w:tcPr>
                <w:p>
                  <w:pPr>
                    <w:adjustRightInd w:val="0"/>
                    <w:snapToGrid w:val="0"/>
                    <w:jc w:val="center"/>
                    <w:rPr>
                      <w:rFonts w:hint="default"/>
                      <w:sz w:val="21"/>
                      <w:szCs w:val="21"/>
                    </w:rPr>
                  </w:pPr>
                  <w:r>
                    <w:rPr>
                      <w:rFonts w:hint="default"/>
                      <w:sz w:val="21"/>
                      <w:szCs w:val="21"/>
                    </w:rPr>
                    <w:t>--</w:t>
                  </w:r>
                </w:p>
              </w:tc>
            </w:tr>
          </w:tbl>
          <w:p>
            <w:pPr>
              <w:spacing w:line="360" w:lineRule="auto"/>
              <w:rPr>
                <w:rFonts w:hint="default"/>
                <w:sz w:val="24"/>
                <w:szCs w:val="24"/>
              </w:rPr>
            </w:pPr>
            <w:r>
              <w:rPr>
                <w:rFonts w:hint="default"/>
                <w:sz w:val="24"/>
                <w:szCs w:val="24"/>
              </w:rPr>
              <w:t>5、主要原辅材料及燃料</w:t>
            </w:r>
          </w:p>
          <w:p>
            <w:pPr>
              <w:jc w:val="center"/>
              <w:rPr>
                <w:rFonts w:hint="default"/>
                <w:sz w:val="24"/>
                <w:szCs w:val="24"/>
              </w:rPr>
            </w:pPr>
            <w:r>
              <w:rPr>
                <w:rFonts w:hint="default"/>
                <w:sz w:val="24"/>
                <w:szCs w:val="24"/>
              </w:rPr>
              <w:t>表2-</w:t>
            </w:r>
            <w:r>
              <w:rPr>
                <w:rFonts w:hint="eastAsia"/>
                <w:sz w:val="24"/>
                <w:szCs w:val="24"/>
                <w:lang w:val="en-US" w:eastAsia="zh-CN"/>
              </w:rPr>
              <w:t>5</w:t>
            </w:r>
            <w:r>
              <w:rPr>
                <w:rFonts w:hint="default"/>
                <w:sz w:val="24"/>
                <w:szCs w:val="24"/>
              </w:rPr>
              <w:t xml:space="preserve"> 主要原辅材料、能源消耗一览表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07"/>
              <w:gridCol w:w="1241"/>
              <w:gridCol w:w="1064"/>
              <w:gridCol w:w="1241"/>
              <w:gridCol w:w="1046"/>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64" w:type="pct"/>
                  <w:vMerge w:val="restart"/>
                  <w:vAlign w:val="center"/>
                </w:tcPr>
                <w:p>
                  <w:pPr>
                    <w:adjustRightInd w:val="0"/>
                    <w:snapToGrid w:val="0"/>
                    <w:jc w:val="center"/>
                    <w:rPr>
                      <w:rFonts w:hint="default"/>
                      <w:sz w:val="21"/>
                      <w:szCs w:val="21"/>
                    </w:rPr>
                  </w:pPr>
                  <w:r>
                    <w:rPr>
                      <w:rFonts w:hint="default"/>
                      <w:sz w:val="21"/>
                      <w:szCs w:val="21"/>
                    </w:rPr>
                    <w:t>序号</w:t>
                  </w:r>
                </w:p>
              </w:tc>
              <w:tc>
                <w:tcPr>
                  <w:tcW w:w="686" w:type="pct"/>
                  <w:vMerge w:val="restart"/>
                  <w:vAlign w:val="center"/>
                </w:tcPr>
                <w:p>
                  <w:pPr>
                    <w:adjustRightInd w:val="0"/>
                    <w:snapToGrid w:val="0"/>
                    <w:jc w:val="center"/>
                    <w:rPr>
                      <w:rFonts w:hint="default"/>
                      <w:sz w:val="21"/>
                      <w:szCs w:val="21"/>
                    </w:rPr>
                  </w:pPr>
                  <w:r>
                    <w:rPr>
                      <w:rFonts w:hint="default"/>
                      <w:sz w:val="21"/>
                      <w:szCs w:val="21"/>
                    </w:rPr>
                    <w:t>名称</w:t>
                  </w:r>
                </w:p>
              </w:tc>
              <w:tc>
                <w:tcPr>
                  <w:tcW w:w="1430" w:type="pct"/>
                  <w:gridSpan w:val="2"/>
                  <w:vAlign w:val="center"/>
                </w:tcPr>
                <w:p>
                  <w:pPr>
                    <w:adjustRightInd w:val="0"/>
                    <w:snapToGrid w:val="0"/>
                    <w:jc w:val="center"/>
                    <w:rPr>
                      <w:rFonts w:hint="default"/>
                      <w:sz w:val="21"/>
                      <w:szCs w:val="21"/>
                      <w:lang w:eastAsia="zh-CN"/>
                    </w:rPr>
                  </w:pPr>
                  <w:r>
                    <w:rPr>
                      <w:rFonts w:hint="default"/>
                      <w:sz w:val="21"/>
                      <w:szCs w:val="21"/>
                      <w:lang w:eastAsia="zh-CN"/>
                    </w:rPr>
                    <w:t>现有项目</w:t>
                  </w:r>
                </w:p>
              </w:tc>
              <w:tc>
                <w:tcPr>
                  <w:tcW w:w="1419" w:type="pct"/>
                  <w:gridSpan w:val="2"/>
                  <w:vAlign w:val="center"/>
                </w:tcPr>
                <w:p>
                  <w:pPr>
                    <w:adjustRightInd w:val="0"/>
                    <w:snapToGrid w:val="0"/>
                    <w:jc w:val="center"/>
                    <w:rPr>
                      <w:rFonts w:hint="default"/>
                      <w:sz w:val="21"/>
                      <w:szCs w:val="21"/>
                      <w:lang w:eastAsia="zh-CN"/>
                    </w:rPr>
                  </w:pPr>
                  <w:r>
                    <w:rPr>
                      <w:rFonts w:hint="default"/>
                      <w:sz w:val="21"/>
                      <w:szCs w:val="21"/>
                      <w:lang w:eastAsia="zh-CN"/>
                    </w:rPr>
                    <w:t>技改</w:t>
                  </w:r>
                  <w:r>
                    <w:rPr>
                      <w:rFonts w:hint="eastAsia"/>
                      <w:sz w:val="21"/>
                      <w:szCs w:val="21"/>
                      <w:lang w:eastAsia="zh-CN"/>
                    </w:rPr>
                    <w:t>后全厂</w:t>
                  </w:r>
                </w:p>
              </w:tc>
              <w:tc>
                <w:tcPr>
                  <w:tcW w:w="1198" w:type="pct"/>
                  <w:vMerge w:val="restart"/>
                  <w:vAlign w:val="center"/>
                </w:tcPr>
                <w:p>
                  <w:pPr>
                    <w:adjustRightInd w:val="0"/>
                    <w:snapToGrid w:val="0"/>
                    <w:jc w:val="center"/>
                    <w:rPr>
                      <w:rFonts w:hint="default"/>
                      <w:sz w:val="21"/>
                      <w:szCs w:val="21"/>
                    </w:rPr>
                  </w:pPr>
                  <w:r>
                    <w:rPr>
                      <w:rFonts w:hint="default"/>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64" w:type="pct"/>
                  <w:vMerge w:val="continue"/>
                  <w:vAlign w:val="center"/>
                </w:tcPr>
                <w:p>
                  <w:pPr>
                    <w:adjustRightInd w:val="0"/>
                    <w:snapToGrid w:val="0"/>
                    <w:jc w:val="center"/>
                    <w:rPr>
                      <w:rFonts w:hint="default"/>
                      <w:sz w:val="21"/>
                      <w:szCs w:val="21"/>
                    </w:rPr>
                  </w:pPr>
                </w:p>
              </w:tc>
              <w:tc>
                <w:tcPr>
                  <w:tcW w:w="686" w:type="pct"/>
                  <w:vMerge w:val="continue"/>
                  <w:vAlign w:val="center"/>
                </w:tcPr>
                <w:p>
                  <w:pPr>
                    <w:adjustRightInd w:val="0"/>
                    <w:snapToGrid w:val="0"/>
                    <w:jc w:val="center"/>
                    <w:rPr>
                      <w:rFonts w:hint="default"/>
                      <w:sz w:val="21"/>
                      <w:szCs w:val="21"/>
                    </w:rPr>
                  </w:pPr>
                </w:p>
              </w:tc>
              <w:tc>
                <w:tcPr>
                  <w:tcW w:w="770" w:type="pct"/>
                  <w:vAlign w:val="center"/>
                </w:tcPr>
                <w:p>
                  <w:pPr>
                    <w:adjustRightInd w:val="0"/>
                    <w:snapToGrid w:val="0"/>
                    <w:jc w:val="center"/>
                    <w:rPr>
                      <w:rFonts w:hint="default"/>
                      <w:sz w:val="21"/>
                      <w:szCs w:val="21"/>
                      <w:lang w:val="en-US" w:eastAsia="zh-CN"/>
                    </w:rPr>
                  </w:pPr>
                  <w:r>
                    <w:rPr>
                      <w:rFonts w:hint="default"/>
                      <w:sz w:val="21"/>
                      <w:szCs w:val="21"/>
                    </w:rPr>
                    <w:t>规格</w:t>
                  </w:r>
                </w:p>
              </w:tc>
              <w:tc>
                <w:tcPr>
                  <w:tcW w:w="660" w:type="pct"/>
                  <w:vAlign w:val="center"/>
                </w:tcPr>
                <w:p>
                  <w:pPr>
                    <w:adjustRightInd w:val="0"/>
                    <w:snapToGrid w:val="0"/>
                    <w:jc w:val="center"/>
                    <w:rPr>
                      <w:rFonts w:hint="default"/>
                      <w:sz w:val="21"/>
                      <w:szCs w:val="21"/>
                      <w:lang w:val="en-US" w:eastAsia="zh-CN"/>
                    </w:rPr>
                  </w:pPr>
                  <w:r>
                    <w:rPr>
                      <w:rFonts w:hint="default"/>
                      <w:sz w:val="21"/>
                      <w:szCs w:val="21"/>
                    </w:rPr>
                    <w:t>数量</w:t>
                  </w:r>
                </w:p>
              </w:tc>
              <w:tc>
                <w:tcPr>
                  <w:tcW w:w="770" w:type="pct"/>
                  <w:vAlign w:val="center"/>
                </w:tcPr>
                <w:p>
                  <w:pPr>
                    <w:adjustRightInd w:val="0"/>
                    <w:snapToGrid w:val="0"/>
                    <w:jc w:val="center"/>
                    <w:rPr>
                      <w:rFonts w:hint="default"/>
                      <w:sz w:val="21"/>
                      <w:szCs w:val="21"/>
                      <w:lang w:val="en-US" w:eastAsia="zh-CN"/>
                    </w:rPr>
                  </w:pPr>
                  <w:r>
                    <w:rPr>
                      <w:rFonts w:hint="default"/>
                      <w:sz w:val="21"/>
                      <w:szCs w:val="21"/>
                    </w:rPr>
                    <w:t>规格</w:t>
                  </w:r>
                </w:p>
              </w:tc>
              <w:tc>
                <w:tcPr>
                  <w:tcW w:w="649" w:type="pct"/>
                  <w:vAlign w:val="center"/>
                </w:tcPr>
                <w:p>
                  <w:pPr>
                    <w:adjustRightInd w:val="0"/>
                    <w:snapToGrid w:val="0"/>
                    <w:jc w:val="center"/>
                    <w:rPr>
                      <w:rFonts w:hint="default"/>
                      <w:sz w:val="21"/>
                      <w:szCs w:val="21"/>
                      <w:lang w:val="en-US" w:eastAsia="zh-CN"/>
                    </w:rPr>
                  </w:pPr>
                  <w:r>
                    <w:rPr>
                      <w:rFonts w:hint="default"/>
                      <w:sz w:val="21"/>
                      <w:szCs w:val="21"/>
                    </w:rPr>
                    <w:t>数量</w:t>
                  </w:r>
                </w:p>
              </w:tc>
              <w:tc>
                <w:tcPr>
                  <w:tcW w:w="1198" w:type="pct"/>
                  <w:vMerge w:val="continue"/>
                  <w:vAlign w:val="center"/>
                </w:tcPr>
                <w:p>
                  <w:pPr>
                    <w:adjustRightInd w:val="0"/>
                    <w:snapToGrid w:val="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rPr>
                  </w:pPr>
                  <w:r>
                    <w:rPr>
                      <w:rFonts w:hint="default"/>
                      <w:sz w:val="21"/>
                      <w:szCs w:val="21"/>
                    </w:rPr>
                    <w:t>1</w:t>
                  </w:r>
                </w:p>
              </w:tc>
              <w:tc>
                <w:tcPr>
                  <w:tcW w:w="686" w:type="pct"/>
                  <w:vAlign w:val="center"/>
                </w:tcPr>
                <w:p>
                  <w:pPr>
                    <w:widowControl/>
                    <w:jc w:val="center"/>
                    <w:textAlignment w:val="center"/>
                    <w:rPr>
                      <w:rFonts w:hint="default"/>
                      <w:sz w:val="21"/>
                      <w:szCs w:val="21"/>
                    </w:rPr>
                  </w:pPr>
                  <w:r>
                    <w:rPr>
                      <w:rFonts w:hint="default"/>
                      <w:sz w:val="21"/>
                      <w:szCs w:val="21"/>
                    </w:rPr>
                    <w:t>玻璃管</w:t>
                  </w:r>
                </w:p>
              </w:tc>
              <w:tc>
                <w:tcPr>
                  <w:tcW w:w="770" w:type="pct"/>
                  <w:vAlign w:val="center"/>
                </w:tcPr>
                <w:p>
                  <w:pPr>
                    <w:widowControl/>
                    <w:jc w:val="center"/>
                    <w:textAlignment w:val="center"/>
                    <w:rPr>
                      <w:rFonts w:hint="default"/>
                      <w:sz w:val="21"/>
                      <w:szCs w:val="21"/>
                    </w:rPr>
                  </w:pPr>
                  <w:r>
                    <w:rPr>
                      <w:rFonts w:hint="default"/>
                      <w:sz w:val="21"/>
                      <w:szCs w:val="21"/>
                    </w:rPr>
                    <w:t>直径5.8~6.6cm</w:t>
                  </w:r>
                </w:p>
              </w:tc>
              <w:tc>
                <w:tcPr>
                  <w:tcW w:w="660" w:type="pct"/>
                  <w:vAlign w:val="center"/>
                </w:tcPr>
                <w:p>
                  <w:pPr>
                    <w:widowControl/>
                    <w:jc w:val="center"/>
                    <w:textAlignment w:val="center"/>
                    <w:rPr>
                      <w:rFonts w:hint="default"/>
                      <w:sz w:val="21"/>
                      <w:szCs w:val="21"/>
                    </w:rPr>
                  </w:pPr>
                  <w:r>
                    <w:rPr>
                      <w:rFonts w:hint="default"/>
                      <w:sz w:val="21"/>
                      <w:szCs w:val="21"/>
                    </w:rPr>
                    <w:t>100t/a</w:t>
                  </w:r>
                </w:p>
              </w:tc>
              <w:tc>
                <w:tcPr>
                  <w:tcW w:w="770" w:type="pct"/>
                  <w:vAlign w:val="center"/>
                </w:tcPr>
                <w:p>
                  <w:pPr>
                    <w:adjustRightInd w:val="0"/>
                    <w:snapToGrid w:val="0"/>
                    <w:jc w:val="center"/>
                    <w:rPr>
                      <w:rFonts w:hint="default"/>
                      <w:sz w:val="21"/>
                      <w:szCs w:val="21"/>
                    </w:rPr>
                  </w:pPr>
                  <w:r>
                    <w:rPr>
                      <w:rFonts w:hint="default"/>
                      <w:sz w:val="21"/>
                      <w:szCs w:val="21"/>
                    </w:rPr>
                    <w:t>直径6.6~12cm</w:t>
                  </w:r>
                </w:p>
              </w:tc>
              <w:tc>
                <w:tcPr>
                  <w:tcW w:w="649" w:type="pct"/>
                  <w:vAlign w:val="center"/>
                </w:tcPr>
                <w:p>
                  <w:pPr>
                    <w:adjustRightInd w:val="0"/>
                    <w:snapToGrid w:val="0"/>
                    <w:jc w:val="center"/>
                    <w:rPr>
                      <w:rFonts w:hint="default"/>
                      <w:sz w:val="21"/>
                      <w:szCs w:val="21"/>
                    </w:rPr>
                  </w:pPr>
                  <w:r>
                    <w:rPr>
                      <w:rFonts w:hint="default"/>
                      <w:sz w:val="21"/>
                      <w:szCs w:val="21"/>
                    </w:rPr>
                    <w:t>400t/a</w:t>
                  </w:r>
                </w:p>
              </w:tc>
              <w:tc>
                <w:tcPr>
                  <w:tcW w:w="1198" w:type="pct"/>
                  <w:vAlign w:val="center"/>
                </w:tcPr>
                <w:p>
                  <w:pPr>
                    <w:adjustRightInd w:val="0"/>
                    <w:snapToGrid w:val="0"/>
                    <w:jc w:val="center"/>
                    <w:rPr>
                      <w:rFonts w:hint="default"/>
                      <w:sz w:val="21"/>
                      <w:szCs w:val="21"/>
                      <w:lang w:eastAsia="zh-CN"/>
                    </w:rPr>
                  </w:pPr>
                  <w:r>
                    <w:rPr>
                      <w:rFonts w:hint="default"/>
                      <w:sz w:val="21"/>
                      <w:szCs w:val="21"/>
                      <w:lang w:eastAsia="zh-CN"/>
                    </w:rPr>
                    <w:t>因规格改变，需求量增加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rPr>
                  </w:pPr>
                  <w:r>
                    <w:rPr>
                      <w:rFonts w:hint="default"/>
                      <w:sz w:val="21"/>
                      <w:szCs w:val="21"/>
                    </w:rPr>
                    <w:t>2</w:t>
                  </w:r>
                </w:p>
              </w:tc>
              <w:tc>
                <w:tcPr>
                  <w:tcW w:w="686" w:type="pct"/>
                  <w:vAlign w:val="center"/>
                </w:tcPr>
                <w:p>
                  <w:pPr>
                    <w:widowControl/>
                    <w:jc w:val="center"/>
                    <w:textAlignment w:val="center"/>
                    <w:rPr>
                      <w:rFonts w:hint="default"/>
                      <w:sz w:val="21"/>
                      <w:szCs w:val="21"/>
                    </w:rPr>
                  </w:pPr>
                  <w:r>
                    <w:rPr>
                      <w:rFonts w:hint="default"/>
                      <w:sz w:val="21"/>
                      <w:szCs w:val="21"/>
                    </w:rPr>
                    <w:t>杯盖</w:t>
                  </w:r>
                </w:p>
              </w:tc>
              <w:tc>
                <w:tcPr>
                  <w:tcW w:w="770" w:type="pct"/>
                  <w:vAlign w:val="center"/>
                </w:tcPr>
                <w:p>
                  <w:pPr>
                    <w:widowControl/>
                    <w:jc w:val="center"/>
                    <w:textAlignment w:val="center"/>
                    <w:rPr>
                      <w:rFonts w:hint="default"/>
                      <w:sz w:val="21"/>
                      <w:szCs w:val="21"/>
                    </w:rPr>
                  </w:pPr>
                  <w:r>
                    <w:rPr>
                      <w:rFonts w:hint="default"/>
                      <w:sz w:val="21"/>
                      <w:szCs w:val="21"/>
                    </w:rPr>
                    <w:t>直径5.8~6.6cm</w:t>
                  </w:r>
                </w:p>
              </w:tc>
              <w:tc>
                <w:tcPr>
                  <w:tcW w:w="660" w:type="pct"/>
                  <w:vAlign w:val="center"/>
                </w:tcPr>
                <w:p>
                  <w:pPr>
                    <w:widowControl/>
                    <w:jc w:val="center"/>
                    <w:textAlignment w:val="center"/>
                    <w:rPr>
                      <w:rFonts w:hint="default"/>
                      <w:sz w:val="21"/>
                      <w:szCs w:val="21"/>
                    </w:rPr>
                  </w:pPr>
                  <w:r>
                    <w:rPr>
                      <w:rFonts w:hint="default"/>
                      <w:sz w:val="21"/>
                      <w:szCs w:val="21"/>
                    </w:rPr>
                    <w:t>80万个/a</w:t>
                  </w:r>
                </w:p>
              </w:tc>
              <w:tc>
                <w:tcPr>
                  <w:tcW w:w="770" w:type="pct"/>
                  <w:vAlign w:val="center"/>
                </w:tcPr>
                <w:p>
                  <w:pPr>
                    <w:adjustRightInd w:val="0"/>
                    <w:snapToGrid w:val="0"/>
                    <w:jc w:val="center"/>
                    <w:rPr>
                      <w:rFonts w:hint="default"/>
                      <w:sz w:val="21"/>
                      <w:szCs w:val="21"/>
                    </w:rPr>
                  </w:pPr>
                  <w:r>
                    <w:rPr>
                      <w:rFonts w:hint="default"/>
                      <w:sz w:val="21"/>
                      <w:szCs w:val="21"/>
                    </w:rPr>
                    <w:t>直径6.6~12cm</w:t>
                  </w:r>
                </w:p>
              </w:tc>
              <w:tc>
                <w:tcPr>
                  <w:tcW w:w="649" w:type="pct"/>
                  <w:vAlign w:val="center"/>
                </w:tcPr>
                <w:p>
                  <w:pPr>
                    <w:adjustRightInd w:val="0"/>
                    <w:snapToGrid w:val="0"/>
                    <w:jc w:val="center"/>
                    <w:rPr>
                      <w:rFonts w:hint="default"/>
                      <w:sz w:val="21"/>
                      <w:szCs w:val="21"/>
                    </w:rPr>
                  </w:pPr>
                  <w:r>
                    <w:rPr>
                      <w:rFonts w:hint="default"/>
                      <w:sz w:val="21"/>
                      <w:szCs w:val="21"/>
                    </w:rPr>
                    <w:t>80万个</w:t>
                  </w:r>
                </w:p>
              </w:tc>
              <w:tc>
                <w:tcPr>
                  <w:tcW w:w="1198" w:type="pct"/>
                  <w:vAlign w:val="center"/>
                </w:tcPr>
                <w:p>
                  <w:pPr>
                    <w:adjustRightInd w:val="0"/>
                    <w:snapToGrid w:val="0"/>
                    <w:jc w:val="center"/>
                    <w:rPr>
                      <w:rFonts w:hint="default"/>
                      <w:sz w:val="21"/>
                      <w:szCs w:val="21"/>
                      <w:lang w:eastAsia="zh-CN"/>
                    </w:rPr>
                  </w:pPr>
                  <w:r>
                    <w:rPr>
                      <w:rFonts w:hint="default"/>
                      <w:sz w:val="21"/>
                      <w:szCs w:val="21"/>
                      <w:lang w:eastAsia="zh-CN"/>
                    </w:rPr>
                    <w:t>规格改变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lang w:val="en-US" w:eastAsia="zh-CN"/>
                    </w:rPr>
                  </w:pPr>
                  <w:r>
                    <w:rPr>
                      <w:rFonts w:hint="default"/>
                      <w:sz w:val="21"/>
                      <w:szCs w:val="21"/>
                      <w:lang w:val="en-US" w:eastAsia="zh-CN"/>
                    </w:rPr>
                    <w:t>3</w:t>
                  </w:r>
                </w:p>
              </w:tc>
              <w:tc>
                <w:tcPr>
                  <w:tcW w:w="686" w:type="pct"/>
                  <w:vAlign w:val="center"/>
                </w:tcPr>
                <w:p>
                  <w:pPr>
                    <w:widowControl/>
                    <w:jc w:val="center"/>
                    <w:textAlignment w:val="center"/>
                    <w:rPr>
                      <w:rFonts w:hint="default"/>
                      <w:sz w:val="21"/>
                      <w:szCs w:val="21"/>
                    </w:rPr>
                  </w:pPr>
                  <w:r>
                    <w:rPr>
                      <w:rFonts w:hint="default"/>
                      <w:sz w:val="21"/>
                      <w:szCs w:val="21"/>
                    </w:rPr>
                    <w:t>杯底</w:t>
                  </w:r>
                </w:p>
              </w:tc>
              <w:tc>
                <w:tcPr>
                  <w:tcW w:w="770" w:type="pct"/>
                  <w:vAlign w:val="center"/>
                </w:tcPr>
                <w:p>
                  <w:pPr>
                    <w:adjustRightInd w:val="0"/>
                    <w:snapToGrid w:val="0"/>
                    <w:jc w:val="center"/>
                    <w:rPr>
                      <w:rFonts w:hint="default"/>
                      <w:sz w:val="21"/>
                      <w:szCs w:val="21"/>
                      <w:lang w:val="en-US" w:eastAsia="zh-CN"/>
                    </w:rPr>
                  </w:pPr>
                  <w:r>
                    <w:rPr>
                      <w:rFonts w:hint="default"/>
                      <w:sz w:val="21"/>
                      <w:szCs w:val="21"/>
                    </w:rPr>
                    <w:t>40*60*60cm</w:t>
                  </w:r>
                </w:p>
              </w:tc>
              <w:tc>
                <w:tcPr>
                  <w:tcW w:w="660" w:type="pct"/>
                  <w:vAlign w:val="center"/>
                </w:tcPr>
                <w:p>
                  <w:pPr>
                    <w:widowControl/>
                    <w:jc w:val="center"/>
                    <w:textAlignment w:val="center"/>
                    <w:rPr>
                      <w:rFonts w:hint="default"/>
                      <w:sz w:val="21"/>
                      <w:szCs w:val="21"/>
                      <w:lang w:val="en-US" w:eastAsia="zh-CN"/>
                    </w:rPr>
                  </w:pPr>
                  <w:r>
                    <w:rPr>
                      <w:rFonts w:hint="default"/>
                      <w:sz w:val="21"/>
                      <w:szCs w:val="21"/>
                    </w:rPr>
                    <w:t>80万个/a</w:t>
                  </w:r>
                </w:p>
              </w:tc>
              <w:tc>
                <w:tcPr>
                  <w:tcW w:w="770" w:type="pct"/>
                  <w:vAlign w:val="center"/>
                </w:tcPr>
                <w:p>
                  <w:pPr>
                    <w:adjustRightInd w:val="0"/>
                    <w:snapToGrid w:val="0"/>
                    <w:jc w:val="center"/>
                    <w:rPr>
                      <w:rFonts w:hint="default"/>
                      <w:sz w:val="21"/>
                      <w:szCs w:val="21"/>
                      <w:lang w:val="en-US" w:eastAsia="zh-CN"/>
                    </w:rPr>
                  </w:pPr>
                  <w:r>
                    <w:rPr>
                      <w:rFonts w:hint="default"/>
                      <w:sz w:val="21"/>
                      <w:szCs w:val="21"/>
                      <w:lang w:val="en-US" w:eastAsia="zh-CN"/>
                    </w:rPr>
                    <w:t>/</w:t>
                  </w:r>
                </w:p>
              </w:tc>
              <w:tc>
                <w:tcPr>
                  <w:tcW w:w="649" w:type="pct"/>
                  <w:vAlign w:val="center"/>
                </w:tcPr>
                <w:p>
                  <w:pPr>
                    <w:adjustRightInd w:val="0"/>
                    <w:snapToGrid w:val="0"/>
                    <w:jc w:val="center"/>
                    <w:rPr>
                      <w:rFonts w:hint="default"/>
                      <w:sz w:val="21"/>
                      <w:szCs w:val="21"/>
                      <w:lang w:val="en-US" w:eastAsia="zh-CN"/>
                    </w:rPr>
                  </w:pPr>
                  <w:r>
                    <w:rPr>
                      <w:rFonts w:hint="eastAsia"/>
                      <w:sz w:val="21"/>
                      <w:szCs w:val="21"/>
                      <w:lang w:val="en-US" w:eastAsia="zh-CN"/>
                    </w:rPr>
                    <w:t>0</w:t>
                  </w:r>
                </w:p>
              </w:tc>
              <w:tc>
                <w:tcPr>
                  <w:tcW w:w="1198" w:type="pct"/>
                  <w:vAlign w:val="center"/>
                </w:tcPr>
                <w:p>
                  <w:pPr>
                    <w:adjustRightInd w:val="0"/>
                    <w:snapToGrid w:val="0"/>
                    <w:jc w:val="center"/>
                    <w:rPr>
                      <w:rFonts w:hint="default"/>
                      <w:sz w:val="21"/>
                      <w:szCs w:val="21"/>
                      <w:lang w:eastAsia="zh-CN"/>
                    </w:rPr>
                  </w:pPr>
                  <w:r>
                    <w:rPr>
                      <w:rFonts w:hint="default"/>
                      <w:sz w:val="21"/>
                      <w:szCs w:val="21"/>
                      <w:lang w:eastAsia="zh-CN"/>
                    </w:rPr>
                    <w:t>技改后</w:t>
                  </w:r>
                  <w:r>
                    <w:rPr>
                      <w:rFonts w:hint="eastAsia"/>
                      <w:sz w:val="21"/>
                      <w:szCs w:val="21"/>
                      <w:lang w:eastAsia="zh-CN"/>
                    </w:rPr>
                    <w:t>工艺改变，无须</w:t>
                  </w:r>
                  <w:r>
                    <w:rPr>
                      <w:rFonts w:hint="default"/>
                      <w:sz w:val="21"/>
                      <w:szCs w:val="21"/>
                      <w:lang w:eastAsia="zh-CN"/>
                    </w:rPr>
                    <w:t>杯底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lang w:eastAsia="zh-CN"/>
                    </w:rPr>
                  </w:pPr>
                  <w:r>
                    <w:rPr>
                      <w:rFonts w:hint="default"/>
                      <w:sz w:val="21"/>
                      <w:szCs w:val="21"/>
                      <w:lang w:val="en-US" w:eastAsia="zh-CN"/>
                    </w:rPr>
                    <w:t>4</w:t>
                  </w:r>
                </w:p>
              </w:tc>
              <w:tc>
                <w:tcPr>
                  <w:tcW w:w="686" w:type="pct"/>
                  <w:vAlign w:val="center"/>
                </w:tcPr>
                <w:p>
                  <w:pPr>
                    <w:widowControl/>
                    <w:jc w:val="center"/>
                    <w:textAlignment w:val="center"/>
                    <w:rPr>
                      <w:rFonts w:hint="default"/>
                      <w:sz w:val="21"/>
                      <w:szCs w:val="21"/>
                    </w:rPr>
                  </w:pPr>
                  <w:r>
                    <w:rPr>
                      <w:rFonts w:hint="default"/>
                      <w:sz w:val="21"/>
                      <w:szCs w:val="21"/>
                    </w:rPr>
                    <w:t>包装箱</w:t>
                  </w:r>
                </w:p>
              </w:tc>
              <w:tc>
                <w:tcPr>
                  <w:tcW w:w="770" w:type="pct"/>
                  <w:vAlign w:val="center"/>
                </w:tcPr>
                <w:p>
                  <w:pPr>
                    <w:adjustRightInd w:val="0"/>
                    <w:snapToGrid w:val="0"/>
                    <w:jc w:val="center"/>
                    <w:rPr>
                      <w:rFonts w:hint="default"/>
                      <w:sz w:val="21"/>
                      <w:szCs w:val="21"/>
                      <w:lang w:val="en-US" w:eastAsia="zh-CN"/>
                    </w:rPr>
                  </w:pPr>
                  <w:r>
                    <w:rPr>
                      <w:rFonts w:hint="default"/>
                      <w:sz w:val="21"/>
                      <w:szCs w:val="21"/>
                    </w:rPr>
                    <w:t>40*60*60cm</w:t>
                  </w:r>
                </w:p>
              </w:tc>
              <w:tc>
                <w:tcPr>
                  <w:tcW w:w="660" w:type="pct"/>
                  <w:vAlign w:val="center"/>
                </w:tcPr>
                <w:p>
                  <w:pPr>
                    <w:widowControl/>
                    <w:jc w:val="center"/>
                    <w:textAlignment w:val="center"/>
                    <w:rPr>
                      <w:rFonts w:hint="default"/>
                      <w:sz w:val="21"/>
                      <w:szCs w:val="21"/>
                      <w:lang w:val="en-US" w:eastAsia="zh-CN"/>
                    </w:rPr>
                  </w:pPr>
                  <w:r>
                    <w:rPr>
                      <w:rFonts w:hint="default"/>
                      <w:sz w:val="21"/>
                      <w:szCs w:val="21"/>
                      <w:lang w:val="en-US" w:eastAsia="zh-CN"/>
                    </w:rPr>
                    <w:t>2t/a</w:t>
                  </w:r>
                </w:p>
              </w:tc>
              <w:tc>
                <w:tcPr>
                  <w:tcW w:w="770" w:type="pct"/>
                  <w:vAlign w:val="center"/>
                </w:tcPr>
                <w:p>
                  <w:pPr>
                    <w:adjustRightInd w:val="0"/>
                    <w:snapToGrid w:val="0"/>
                    <w:jc w:val="center"/>
                    <w:rPr>
                      <w:rFonts w:hint="default"/>
                      <w:sz w:val="21"/>
                      <w:szCs w:val="21"/>
                    </w:rPr>
                  </w:pPr>
                  <w:r>
                    <w:rPr>
                      <w:rFonts w:hint="default"/>
                      <w:sz w:val="21"/>
                      <w:szCs w:val="21"/>
                    </w:rPr>
                    <w:t>40*60*60cm</w:t>
                  </w:r>
                </w:p>
              </w:tc>
              <w:tc>
                <w:tcPr>
                  <w:tcW w:w="649" w:type="pct"/>
                  <w:vAlign w:val="center"/>
                </w:tcPr>
                <w:p>
                  <w:pPr>
                    <w:adjustRightInd w:val="0"/>
                    <w:snapToGrid w:val="0"/>
                    <w:jc w:val="center"/>
                    <w:rPr>
                      <w:rFonts w:hint="default"/>
                      <w:sz w:val="21"/>
                      <w:szCs w:val="21"/>
                    </w:rPr>
                  </w:pPr>
                  <w:r>
                    <w:rPr>
                      <w:rFonts w:hint="default"/>
                      <w:sz w:val="21"/>
                      <w:szCs w:val="21"/>
                      <w:lang w:val="en-US" w:eastAsia="zh-CN"/>
                    </w:rPr>
                    <w:t>2</w:t>
                  </w:r>
                  <w:r>
                    <w:rPr>
                      <w:rFonts w:hint="default"/>
                      <w:sz w:val="21"/>
                      <w:szCs w:val="21"/>
                    </w:rPr>
                    <w:t>t/a</w:t>
                  </w:r>
                </w:p>
              </w:tc>
              <w:tc>
                <w:tcPr>
                  <w:tcW w:w="1198" w:type="pct"/>
                  <w:vAlign w:val="center"/>
                </w:tcPr>
                <w:p>
                  <w:pPr>
                    <w:adjustRightInd w:val="0"/>
                    <w:snapToGrid w:val="0"/>
                    <w:jc w:val="center"/>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lang w:eastAsia="zh-CN"/>
                    </w:rPr>
                  </w:pPr>
                  <w:r>
                    <w:rPr>
                      <w:rFonts w:hint="eastAsia"/>
                      <w:sz w:val="21"/>
                      <w:szCs w:val="21"/>
                      <w:lang w:val="en-US" w:eastAsia="zh-CN"/>
                    </w:rPr>
                    <w:t>5</w:t>
                  </w:r>
                </w:p>
              </w:tc>
              <w:tc>
                <w:tcPr>
                  <w:tcW w:w="686"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sz w:val="21"/>
                      <w:szCs w:val="21"/>
                    </w:rPr>
                    <w:t>润滑油</w:t>
                  </w:r>
                </w:p>
              </w:tc>
              <w:tc>
                <w:tcPr>
                  <w:tcW w:w="77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w:t>
                  </w:r>
                </w:p>
              </w:tc>
              <w:tc>
                <w:tcPr>
                  <w:tcW w:w="660" w:type="pct"/>
                  <w:vAlign w:val="center"/>
                </w:tcPr>
                <w:p>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0</w:t>
                  </w:r>
                </w:p>
              </w:tc>
              <w:tc>
                <w:tcPr>
                  <w:tcW w:w="770"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sz w:val="21"/>
                      <w:szCs w:val="21"/>
                    </w:rPr>
                    <w:t>/</w:t>
                  </w:r>
                </w:p>
              </w:tc>
              <w:tc>
                <w:tcPr>
                  <w:tcW w:w="649"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sz w:val="21"/>
                      <w:szCs w:val="21"/>
                    </w:rPr>
                    <w:t>0.03t/a</w:t>
                  </w:r>
                </w:p>
              </w:tc>
              <w:tc>
                <w:tcPr>
                  <w:tcW w:w="1198" w:type="pct"/>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sz w:val="21"/>
                      <w:szCs w:val="21"/>
                    </w:rPr>
                    <w:t>由设备厂家维修维护时提供，企业不暂存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adjustRightInd w:val="0"/>
                    <w:snapToGrid w:val="0"/>
                    <w:jc w:val="center"/>
                    <w:rPr>
                      <w:rFonts w:hint="default"/>
                      <w:sz w:val="21"/>
                      <w:szCs w:val="21"/>
                    </w:rPr>
                  </w:pPr>
                  <w:r>
                    <w:rPr>
                      <w:rFonts w:hint="default"/>
                      <w:sz w:val="21"/>
                      <w:szCs w:val="21"/>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rPr>
                  </w:pPr>
                  <w:r>
                    <w:rPr>
                      <w:rFonts w:hint="default"/>
                      <w:sz w:val="21"/>
                      <w:szCs w:val="21"/>
                    </w:rPr>
                    <w:t>1</w:t>
                  </w:r>
                </w:p>
              </w:tc>
              <w:tc>
                <w:tcPr>
                  <w:tcW w:w="686" w:type="pct"/>
                  <w:vAlign w:val="center"/>
                </w:tcPr>
                <w:p>
                  <w:pPr>
                    <w:adjustRightInd w:val="0"/>
                    <w:snapToGrid w:val="0"/>
                    <w:jc w:val="center"/>
                    <w:rPr>
                      <w:rFonts w:hint="default"/>
                      <w:sz w:val="21"/>
                      <w:szCs w:val="21"/>
                    </w:rPr>
                  </w:pPr>
                  <w:r>
                    <w:rPr>
                      <w:rFonts w:hint="default"/>
                      <w:sz w:val="21"/>
                      <w:szCs w:val="21"/>
                    </w:rPr>
                    <w:t>水</w:t>
                  </w:r>
                </w:p>
              </w:tc>
              <w:tc>
                <w:tcPr>
                  <w:tcW w:w="770" w:type="pct"/>
                  <w:vAlign w:val="center"/>
                </w:tcPr>
                <w:p>
                  <w:pPr>
                    <w:adjustRightInd w:val="0"/>
                    <w:snapToGrid w:val="0"/>
                    <w:jc w:val="center"/>
                    <w:rPr>
                      <w:rFonts w:hint="default"/>
                      <w:sz w:val="21"/>
                      <w:szCs w:val="21"/>
                      <w:lang w:val="en-US" w:eastAsia="zh-CN"/>
                    </w:rPr>
                  </w:pPr>
                  <w:r>
                    <w:rPr>
                      <w:rFonts w:hint="default"/>
                      <w:sz w:val="21"/>
                      <w:szCs w:val="21"/>
                      <w:lang w:val="en-US" w:eastAsia="zh-CN"/>
                    </w:rPr>
                    <w:t>/</w:t>
                  </w:r>
                </w:p>
              </w:tc>
              <w:tc>
                <w:tcPr>
                  <w:tcW w:w="660" w:type="pct"/>
                  <w:vAlign w:val="center"/>
                </w:tcPr>
                <w:p>
                  <w:pPr>
                    <w:adjustRightInd w:val="0"/>
                    <w:snapToGrid w:val="0"/>
                    <w:jc w:val="center"/>
                    <w:rPr>
                      <w:rFonts w:hint="default"/>
                      <w:sz w:val="21"/>
                      <w:szCs w:val="21"/>
                      <w:lang w:val="en-US" w:eastAsia="zh-CN"/>
                    </w:rPr>
                  </w:pPr>
                  <w:r>
                    <w:rPr>
                      <w:rFonts w:hint="default"/>
                      <w:sz w:val="21"/>
                      <w:szCs w:val="21"/>
                      <w:lang w:val="en-US" w:eastAsia="zh-CN"/>
                    </w:rPr>
                    <w:t>294t/a</w:t>
                  </w:r>
                </w:p>
              </w:tc>
              <w:tc>
                <w:tcPr>
                  <w:tcW w:w="770" w:type="pct"/>
                  <w:vAlign w:val="center"/>
                </w:tcPr>
                <w:p>
                  <w:pPr>
                    <w:adjustRightInd w:val="0"/>
                    <w:snapToGrid w:val="0"/>
                    <w:jc w:val="center"/>
                    <w:rPr>
                      <w:rFonts w:hint="default"/>
                      <w:sz w:val="21"/>
                      <w:szCs w:val="21"/>
                    </w:rPr>
                  </w:pPr>
                  <w:r>
                    <w:rPr>
                      <w:rFonts w:hint="default"/>
                      <w:sz w:val="21"/>
                      <w:szCs w:val="21"/>
                    </w:rPr>
                    <w:t>/</w:t>
                  </w:r>
                </w:p>
              </w:tc>
              <w:tc>
                <w:tcPr>
                  <w:tcW w:w="649" w:type="pct"/>
                  <w:vAlign w:val="center"/>
                </w:tcPr>
                <w:p>
                  <w:pPr>
                    <w:adjustRightInd w:val="0"/>
                    <w:snapToGrid w:val="0"/>
                    <w:jc w:val="center"/>
                    <w:rPr>
                      <w:rFonts w:hint="default"/>
                      <w:sz w:val="21"/>
                      <w:szCs w:val="21"/>
                      <w:lang w:val="en-US" w:eastAsia="zh-CN"/>
                    </w:rPr>
                  </w:pPr>
                  <w:r>
                    <w:rPr>
                      <w:rFonts w:hint="default"/>
                      <w:sz w:val="21"/>
                      <w:szCs w:val="21"/>
                      <w:lang w:val="en-US" w:eastAsia="zh-CN"/>
                    </w:rPr>
                    <w:t>1.52t/a</w:t>
                  </w:r>
                </w:p>
              </w:tc>
              <w:tc>
                <w:tcPr>
                  <w:tcW w:w="1198" w:type="pct"/>
                  <w:vAlign w:val="center"/>
                </w:tcPr>
                <w:p>
                  <w:pPr>
                    <w:adjustRightInd w:val="0"/>
                    <w:snapToGrid w:val="0"/>
                    <w:jc w:val="center"/>
                    <w:rPr>
                      <w:rFonts w:hint="default"/>
                      <w:sz w:val="21"/>
                      <w:szCs w:val="21"/>
                    </w:rPr>
                  </w:pPr>
                  <w:r>
                    <w:rPr>
                      <w:rFonts w:hint="default"/>
                      <w:sz w:val="21"/>
                      <w:szCs w:val="21"/>
                    </w:rPr>
                    <w:t>由萌二村自来水管网提供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rPr>
                  </w:pPr>
                  <w:r>
                    <w:rPr>
                      <w:rFonts w:hint="default"/>
                      <w:sz w:val="21"/>
                      <w:szCs w:val="21"/>
                    </w:rPr>
                    <w:t>2</w:t>
                  </w:r>
                </w:p>
              </w:tc>
              <w:tc>
                <w:tcPr>
                  <w:tcW w:w="686" w:type="pct"/>
                  <w:vAlign w:val="center"/>
                </w:tcPr>
                <w:p>
                  <w:pPr>
                    <w:adjustRightInd w:val="0"/>
                    <w:snapToGrid w:val="0"/>
                    <w:jc w:val="center"/>
                    <w:rPr>
                      <w:rFonts w:hint="default"/>
                      <w:sz w:val="21"/>
                      <w:szCs w:val="21"/>
                    </w:rPr>
                  </w:pPr>
                  <w:r>
                    <w:rPr>
                      <w:rFonts w:hint="default"/>
                      <w:sz w:val="21"/>
                      <w:szCs w:val="21"/>
                    </w:rPr>
                    <w:t>电</w:t>
                  </w:r>
                </w:p>
              </w:tc>
              <w:tc>
                <w:tcPr>
                  <w:tcW w:w="770" w:type="pct"/>
                  <w:vAlign w:val="center"/>
                </w:tcPr>
                <w:p>
                  <w:pPr>
                    <w:adjustRightInd w:val="0"/>
                    <w:snapToGrid w:val="0"/>
                    <w:jc w:val="center"/>
                    <w:rPr>
                      <w:rFonts w:hint="default"/>
                      <w:sz w:val="21"/>
                      <w:szCs w:val="21"/>
                      <w:lang w:val="en-US" w:eastAsia="zh-CN"/>
                    </w:rPr>
                  </w:pPr>
                  <w:r>
                    <w:rPr>
                      <w:rFonts w:hint="default"/>
                      <w:sz w:val="21"/>
                      <w:szCs w:val="21"/>
                      <w:lang w:val="en-US" w:eastAsia="zh-CN"/>
                    </w:rPr>
                    <w:t>/</w:t>
                  </w:r>
                </w:p>
              </w:tc>
              <w:tc>
                <w:tcPr>
                  <w:tcW w:w="660" w:type="pct"/>
                  <w:vAlign w:val="center"/>
                </w:tcPr>
                <w:p>
                  <w:pPr>
                    <w:adjustRightInd w:val="0"/>
                    <w:snapToGrid w:val="0"/>
                    <w:jc w:val="center"/>
                    <w:rPr>
                      <w:rFonts w:hint="default"/>
                      <w:sz w:val="21"/>
                      <w:szCs w:val="21"/>
                      <w:lang w:val="en-US" w:eastAsia="zh-CN"/>
                    </w:rPr>
                  </w:pPr>
                  <w:r>
                    <w:rPr>
                      <w:rFonts w:hint="default"/>
                      <w:sz w:val="21"/>
                      <w:szCs w:val="21"/>
                      <w:lang w:val="en-US" w:eastAsia="zh-CN"/>
                    </w:rPr>
                    <w:t>1.5</w:t>
                  </w:r>
                  <w:r>
                    <w:rPr>
                      <w:rFonts w:hint="default"/>
                      <w:sz w:val="21"/>
                      <w:szCs w:val="21"/>
                    </w:rPr>
                    <w:t>万kW·h/a</w:t>
                  </w:r>
                </w:p>
              </w:tc>
              <w:tc>
                <w:tcPr>
                  <w:tcW w:w="770" w:type="pct"/>
                  <w:vAlign w:val="center"/>
                </w:tcPr>
                <w:p>
                  <w:pPr>
                    <w:adjustRightInd w:val="0"/>
                    <w:snapToGrid w:val="0"/>
                    <w:jc w:val="center"/>
                    <w:rPr>
                      <w:rFonts w:hint="default"/>
                      <w:sz w:val="21"/>
                      <w:szCs w:val="21"/>
                    </w:rPr>
                  </w:pPr>
                  <w:r>
                    <w:rPr>
                      <w:rFonts w:hint="default"/>
                      <w:sz w:val="21"/>
                      <w:szCs w:val="21"/>
                    </w:rPr>
                    <w:t>/</w:t>
                  </w:r>
                </w:p>
              </w:tc>
              <w:tc>
                <w:tcPr>
                  <w:tcW w:w="649" w:type="pct"/>
                  <w:vAlign w:val="center"/>
                </w:tcPr>
                <w:p>
                  <w:pPr>
                    <w:adjustRightInd w:val="0"/>
                    <w:snapToGrid w:val="0"/>
                    <w:jc w:val="center"/>
                    <w:rPr>
                      <w:rFonts w:hint="default"/>
                      <w:sz w:val="21"/>
                      <w:szCs w:val="21"/>
                    </w:rPr>
                  </w:pPr>
                  <w:r>
                    <w:rPr>
                      <w:rFonts w:hint="default"/>
                      <w:sz w:val="21"/>
                      <w:szCs w:val="21"/>
                      <w:lang w:val="en-US" w:eastAsia="zh-CN"/>
                    </w:rPr>
                    <w:t>8.5</w:t>
                  </w:r>
                  <w:r>
                    <w:rPr>
                      <w:rFonts w:hint="default"/>
                      <w:sz w:val="21"/>
                      <w:szCs w:val="21"/>
                    </w:rPr>
                    <w:t>万kW·h/a</w:t>
                  </w:r>
                </w:p>
              </w:tc>
              <w:tc>
                <w:tcPr>
                  <w:tcW w:w="1198" w:type="pct"/>
                  <w:vAlign w:val="center"/>
                </w:tcPr>
                <w:p>
                  <w:pPr>
                    <w:adjustRightInd w:val="0"/>
                    <w:snapToGrid w:val="0"/>
                    <w:jc w:val="center"/>
                    <w:rPr>
                      <w:rFonts w:hint="default"/>
                      <w:sz w:val="21"/>
                      <w:szCs w:val="21"/>
                    </w:rPr>
                  </w:pPr>
                  <w:r>
                    <w:rPr>
                      <w:rFonts w:hint="default"/>
                      <w:sz w:val="21"/>
                      <w:szCs w:val="21"/>
                    </w:rPr>
                    <w:t>由淄博市文昌湖旅游度假区萌水镇供电所提供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rPr>
                  </w:pPr>
                  <w:r>
                    <w:rPr>
                      <w:rFonts w:hint="default"/>
                      <w:sz w:val="21"/>
                      <w:szCs w:val="21"/>
                    </w:rPr>
                    <w:t>3</w:t>
                  </w:r>
                </w:p>
              </w:tc>
              <w:tc>
                <w:tcPr>
                  <w:tcW w:w="686" w:type="pct"/>
                  <w:vAlign w:val="center"/>
                </w:tcPr>
                <w:p>
                  <w:pPr>
                    <w:adjustRightInd w:val="0"/>
                    <w:snapToGrid w:val="0"/>
                    <w:jc w:val="center"/>
                    <w:rPr>
                      <w:rFonts w:hint="default"/>
                      <w:sz w:val="21"/>
                      <w:szCs w:val="21"/>
                    </w:rPr>
                  </w:pPr>
                  <w:r>
                    <w:rPr>
                      <w:rFonts w:hint="default"/>
                      <w:sz w:val="21"/>
                      <w:szCs w:val="21"/>
                    </w:rPr>
                    <w:t>液化石油气</w:t>
                  </w:r>
                </w:p>
              </w:tc>
              <w:tc>
                <w:tcPr>
                  <w:tcW w:w="770" w:type="pct"/>
                  <w:vAlign w:val="center"/>
                </w:tcPr>
                <w:p>
                  <w:pPr>
                    <w:adjustRightInd w:val="0"/>
                    <w:snapToGrid w:val="0"/>
                    <w:jc w:val="center"/>
                    <w:rPr>
                      <w:rFonts w:hint="default"/>
                      <w:sz w:val="21"/>
                      <w:szCs w:val="21"/>
                      <w:lang w:val="en-US" w:eastAsia="zh-CN"/>
                    </w:rPr>
                  </w:pPr>
                  <w:r>
                    <w:rPr>
                      <w:rFonts w:hint="default"/>
                      <w:sz w:val="21"/>
                      <w:szCs w:val="21"/>
                      <w:lang w:val="en-US" w:eastAsia="zh-CN"/>
                    </w:rPr>
                    <w:t>/</w:t>
                  </w:r>
                </w:p>
              </w:tc>
              <w:tc>
                <w:tcPr>
                  <w:tcW w:w="660" w:type="pct"/>
                  <w:vAlign w:val="center"/>
                </w:tcPr>
                <w:p>
                  <w:pPr>
                    <w:adjustRightInd w:val="0"/>
                    <w:snapToGrid w:val="0"/>
                    <w:jc w:val="center"/>
                    <w:rPr>
                      <w:rFonts w:hint="default"/>
                      <w:sz w:val="21"/>
                      <w:szCs w:val="21"/>
                      <w:lang w:val="en-US" w:eastAsia="zh-CN"/>
                    </w:rPr>
                  </w:pPr>
                  <w:r>
                    <w:rPr>
                      <w:rFonts w:hint="default"/>
                      <w:sz w:val="21"/>
                      <w:szCs w:val="21"/>
                      <w:lang w:val="en-US" w:eastAsia="zh-CN"/>
                    </w:rPr>
                    <w:t>5t/a</w:t>
                  </w:r>
                </w:p>
              </w:tc>
              <w:tc>
                <w:tcPr>
                  <w:tcW w:w="770" w:type="pct"/>
                  <w:vAlign w:val="center"/>
                </w:tcPr>
                <w:p>
                  <w:pPr>
                    <w:adjustRightInd w:val="0"/>
                    <w:snapToGrid w:val="0"/>
                    <w:jc w:val="center"/>
                    <w:rPr>
                      <w:rFonts w:hint="default"/>
                      <w:sz w:val="21"/>
                      <w:szCs w:val="21"/>
                    </w:rPr>
                  </w:pPr>
                  <w:r>
                    <w:rPr>
                      <w:rFonts w:hint="default"/>
                      <w:sz w:val="21"/>
                      <w:szCs w:val="21"/>
                    </w:rPr>
                    <w:t>/</w:t>
                  </w:r>
                </w:p>
              </w:tc>
              <w:tc>
                <w:tcPr>
                  <w:tcW w:w="649" w:type="pct"/>
                  <w:vAlign w:val="center"/>
                </w:tcPr>
                <w:p>
                  <w:pPr>
                    <w:adjustRightInd w:val="0"/>
                    <w:snapToGrid w:val="0"/>
                    <w:jc w:val="center"/>
                    <w:rPr>
                      <w:rFonts w:hint="default"/>
                      <w:sz w:val="21"/>
                      <w:szCs w:val="21"/>
                    </w:rPr>
                  </w:pPr>
                  <w:r>
                    <w:rPr>
                      <w:rFonts w:hint="eastAsia"/>
                      <w:sz w:val="21"/>
                      <w:szCs w:val="21"/>
                      <w:lang w:val="en-US" w:eastAsia="zh-CN"/>
                    </w:rPr>
                    <w:t>30</w:t>
                  </w:r>
                  <w:r>
                    <w:rPr>
                      <w:rFonts w:hint="default"/>
                      <w:sz w:val="21"/>
                      <w:szCs w:val="21"/>
                    </w:rPr>
                    <w:t>t/a</w:t>
                  </w:r>
                </w:p>
              </w:tc>
              <w:tc>
                <w:tcPr>
                  <w:tcW w:w="1198" w:type="pct"/>
                  <w:vAlign w:val="center"/>
                </w:tcPr>
                <w:p>
                  <w:pPr>
                    <w:adjustRightInd w:val="0"/>
                    <w:snapToGrid w:val="0"/>
                    <w:jc w:val="center"/>
                    <w:rPr>
                      <w:rFonts w:hint="default"/>
                      <w:sz w:val="21"/>
                      <w:szCs w:val="21"/>
                    </w:rPr>
                  </w:pPr>
                  <w:r>
                    <w:rPr>
                      <w:rFonts w:hint="default"/>
                      <w:sz w:val="21"/>
                      <w:szCs w:val="21"/>
                    </w:rPr>
                    <w:t>罐装，由淄博市周村液化石油气服务中心提供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Align w:val="center"/>
                </w:tcPr>
                <w:p>
                  <w:pPr>
                    <w:adjustRightInd w:val="0"/>
                    <w:snapToGrid w:val="0"/>
                    <w:jc w:val="center"/>
                    <w:rPr>
                      <w:rFonts w:hint="default"/>
                      <w:sz w:val="21"/>
                      <w:szCs w:val="21"/>
                    </w:rPr>
                  </w:pPr>
                  <w:r>
                    <w:rPr>
                      <w:rFonts w:hint="default"/>
                      <w:sz w:val="21"/>
                      <w:szCs w:val="21"/>
                    </w:rPr>
                    <w:t>4</w:t>
                  </w:r>
                </w:p>
              </w:tc>
              <w:tc>
                <w:tcPr>
                  <w:tcW w:w="686" w:type="pct"/>
                  <w:vAlign w:val="center"/>
                </w:tcPr>
                <w:p>
                  <w:pPr>
                    <w:adjustRightInd w:val="0"/>
                    <w:snapToGrid w:val="0"/>
                    <w:jc w:val="center"/>
                    <w:rPr>
                      <w:rFonts w:hint="default"/>
                      <w:sz w:val="21"/>
                      <w:szCs w:val="21"/>
                    </w:rPr>
                  </w:pPr>
                  <w:r>
                    <w:rPr>
                      <w:rFonts w:hint="default"/>
                      <w:sz w:val="21"/>
                      <w:szCs w:val="21"/>
                    </w:rPr>
                    <w:t>液氧</w:t>
                  </w:r>
                </w:p>
              </w:tc>
              <w:tc>
                <w:tcPr>
                  <w:tcW w:w="770" w:type="pct"/>
                  <w:vAlign w:val="center"/>
                </w:tcPr>
                <w:p>
                  <w:pPr>
                    <w:adjustRightInd w:val="0"/>
                    <w:snapToGrid w:val="0"/>
                    <w:jc w:val="center"/>
                    <w:rPr>
                      <w:rFonts w:hint="default"/>
                      <w:sz w:val="21"/>
                      <w:szCs w:val="21"/>
                      <w:lang w:val="en-US" w:eastAsia="zh-CN"/>
                    </w:rPr>
                  </w:pPr>
                  <w:r>
                    <w:rPr>
                      <w:rFonts w:hint="default"/>
                      <w:sz w:val="21"/>
                      <w:szCs w:val="21"/>
                      <w:lang w:val="en-US" w:eastAsia="zh-CN"/>
                    </w:rPr>
                    <w:t>/</w:t>
                  </w:r>
                </w:p>
              </w:tc>
              <w:tc>
                <w:tcPr>
                  <w:tcW w:w="660" w:type="pct"/>
                  <w:vAlign w:val="center"/>
                </w:tcPr>
                <w:p>
                  <w:pPr>
                    <w:adjustRightInd w:val="0"/>
                    <w:snapToGrid w:val="0"/>
                    <w:jc w:val="center"/>
                    <w:rPr>
                      <w:rFonts w:hint="default"/>
                      <w:sz w:val="21"/>
                      <w:szCs w:val="21"/>
                      <w:lang w:val="en-US" w:eastAsia="zh-CN"/>
                    </w:rPr>
                  </w:pPr>
                  <w:r>
                    <w:rPr>
                      <w:rFonts w:hint="default"/>
                      <w:sz w:val="21"/>
                      <w:szCs w:val="21"/>
                      <w:lang w:val="en-US" w:eastAsia="zh-CN"/>
                    </w:rPr>
                    <w:t>0</w:t>
                  </w:r>
                </w:p>
              </w:tc>
              <w:tc>
                <w:tcPr>
                  <w:tcW w:w="770" w:type="pct"/>
                  <w:vAlign w:val="center"/>
                </w:tcPr>
                <w:p>
                  <w:pPr>
                    <w:adjustRightInd w:val="0"/>
                    <w:snapToGrid w:val="0"/>
                    <w:jc w:val="center"/>
                    <w:rPr>
                      <w:rFonts w:hint="default"/>
                      <w:sz w:val="21"/>
                      <w:szCs w:val="21"/>
                    </w:rPr>
                  </w:pPr>
                  <w:r>
                    <w:rPr>
                      <w:rFonts w:hint="default"/>
                      <w:sz w:val="21"/>
                      <w:szCs w:val="21"/>
                    </w:rPr>
                    <w:t>/</w:t>
                  </w:r>
                </w:p>
              </w:tc>
              <w:tc>
                <w:tcPr>
                  <w:tcW w:w="649" w:type="pct"/>
                  <w:vAlign w:val="center"/>
                </w:tcPr>
                <w:p>
                  <w:pPr>
                    <w:adjustRightInd w:val="0"/>
                    <w:snapToGrid w:val="0"/>
                    <w:jc w:val="center"/>
                    <w:rPr>
                      <w:rFonts w:hint="default"/>
                      <w:sz w:val="21"/>
                      <w:szCs w:val="21"/>
                    </w:rPr>
                  </w:pPr>
                  <w:r>
                    <w:rPr>
                      <w:rFonts w:hint="default"/>
                      <w:sz w:val="21"/>
                      <w:szCs w:val="21"/>
                    </w:rPr>
                    <w:t>56t/a</w:t>
                  </w:r>
                </w:p>
              </w:tc>
              <w:tc>
                <w:tcPr>
                  <w:tcW w:w="1198" w:type="pct"/>
                  <w:vAlign w:val="center"/>
                </w:tcPr>
                <w:p>
                  <w:pPr>
                    <w:adjustRightInd w:val="0"/>
                    <w:snapToGrid w:val="0"/>
                    <w:jc w:val="center"/>
                    <w:rPr>
                      <w:rFonts w:hint="default"/>
                      <w:sz w:val="21"/>
                      <w:szCs w:val="21"/>
                    </w:rPr>
                  </w:pPr>
                  <w:r>
                    <w:rPr>
                      <w:rFonts w:hint="default"/>
                      <w:sz w:val="21"/>
                      <w:szCs w:val="21"/>
                    </w:rPr>
                    <w:t>罐装，0.5t/罐</w:t>
                  </w:r>
                </w:p>
              </w:tc>
            </w:tr>
          </w:tbl>
          <w:p>
            <w:pPr>
              <w:adjustRightInd w:val="0"/>
              <w:snapToGrid w:val="0"/>
              <w:jc w:val="center"/>
              <w:rPr>
                <w:rFonts w:hint="default"/>
                <w:sz w:val="24"/>
                <w:szCs w:val="24"/>
              </w:rPr>
            </w:pPr>
            <w:r>
              <w:rPr>
                <w:rFonts w:hint="default"/>
                <w:sz w:val="24"/>
                <w:szCs w:val="24"/>
              </w:rPr>
              <w:t>表2-6液化石油气理化特性一览表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156"/>
              <w:gridCol w:w="1088"/>
              <w:gridCol w:w="829"/>
              <w:gridCol w:w="559"/>
              <w:gridCol w:w="1500"/>
              <w:gridCol w:w="1522"/>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vAlign w:val="center"/>
                </w:tcPr>
                <w:p>
                  <w:pPr>
                    <w:pStyle w:val="27"/>
                    <w:rPr>
                      <w:rFonts w:hint="default"/>
                      <w:sz w:val="21"/>
                      <w:szCs w:val="21"/>
                    </w:rPr>
                  </w:pPr>
                  <w:r>
                    <w:rPr>
                      <w:rFonts w:hint="default"/>
                      <w:sz w:val="21"/>
                      <w:szCs w:val="21"/>
                    </w:rPr>
                    <w:t>标识</w:t>
                  </w:r>
                </w:p>
              </w:tc>
              <w:tc>
                <w:tcPr>
                  <w:tcW w:w="1405" w:type="dxa"/>
                  <w:vAlign w:val="center"/>
                </w:tcPr>
                <w:p>
                  <w:pPr>
                    <w:pStyle w:val="27"/>
                    <w:rPr>
                      <w:rFonts w:hint="default"/>
                      <w:sz w:val="21"/>
                      <w:szCs w:val="21"/>
                    </w:rPr>
                  </w:pPr>
                  <w:r>
                    <w:rPr>
                      <w:rFonts w:hint="default"/>
                      <w:sz w:val="21"/>
                      <w:szCs w:val="21"/>
                    </w:rPr>
                    <w:t>中文名称</w:t>
                  </w:r>
                </w:p>
              </w:tc>
              <w:tc>
                <w:tcPr>
                  <w:tcW w:w="2959" w:type="dxa"/>
                  <w:gridSpan w:val="3"/>
                  <w:vAlign w:val="center"/>
                </w:tcPr>
                <w:p>
                  <w:pPr>
                    <w:pStyle w:val="27"/>
                    <w:rPr>
                      <w:rFonts w:hint="default"/>
                      <w:sz w:val="21"/>
                      <w:szCs w:val="21"/>
                    </w:rPr>
                  </w:pPr>
                  <w:r>
                    <w:rPr>
                      <w:rFonts w:hint="default"/>
                      <w:sz w:val="21"/>
                      <w:szCs w:val="21"/>
                    </w:rPr>
                    <w:t>石油气[液化的]；液化石油气</w:t>
                  </w:r>
                </w:p>
              </w:tc>
              <w:tc>
                <w:tcPr>
                  <w:tcW w:w="1841" w:type="dxa"/>
                  <w:vAlign w:val="center"/>
                </w:tcPr>
                <w:p>
                  <w:pPr>
                    <w:pStyle w:val="27"/>
                    <w:rPr>
                      <w:rFonts w:hint="default"/>
                      <w:sz w:val="21"/>
                      <w:szCs w:val="21"/>
                    </w:rPr>
                  </w:pPr>
                  <w:r>
                    <w:rPr>
                      <w:rFonts w:hint="default"/>
                      <w:sz w:val="21"/>
                      <w:szCs w:val="21"/>
                    </w:rPr>
                    <w:t>危险货物编号</w:t>
                  </w:r>
                </w:p>
              </w:tc>
              <w:tc>
                <w:tcPr>
                  <w:tcW w:w="2972" w:type="dxa"/>
                  <w:gridSpan w:val="2"/>
                  <w:vAlign w:val="center"/>
                </w:tcPr>
                <w:p>
                  <w:pPr>
                    <w:pStyle w:val="27"/>
                    <w:rPr>
                      <w:rFonts w:hint="default"/>
                      <w:sz w:val="21"/>
                      <w:szCs w:val="21"/>
                    </w:rPr>
                  </w:pPr>
                  <w:r>
                    <w:rPr>
                      <w:rFonts w:hint="default"/>
                      <w:sz w:val="21"/>
                      <w:szCs w:val="21"/>
                    </w:rPr>
                    <w:t>21053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英文名称</w:t>
                  </w:r>
                </w:p>
              </w:tc>
              <w:tc>
                <w:tcPr>
                  <w:tcW w:w="2959" w:type="dxa"/>
                  <w:gridSpan w:val="3"/>
                  <w:vAlign w:val="center"/>
                </w:tcPr>
                <w:p>
                  <w:pPr>
                    <w:pStyle w:val="27"/>
                    <w:rPr>
                      <w:rFonts w:hint="default"/>
                      <w:sz w:val="21"/>
                      <w:szCs w:val="21"/>
                    </w:rPr>
                  </w:pPr>
                  <w:r>
                    <w:rPr>
                      <w:rFonts w:hint="default"/>
                      <w:sz w:val="21"/>
                      <w:szCs w:val="21"/>
                    </w:rPr>
                    <w:t>Liquefied petroleum ges</w:t>
                  </w:r>
                </w:p>
              </w:tc>
              <w:tc>
                <w:tcPr>
                  <w:tcW w:w="1841" w:type="dxa"/>
                  <w:vAlign w:val="center"/>
                </w:tcPr>
                <w:p>
                  <w:pPr>
                    <w:pStyle w:val="27"/>
                    <w:rPr>
                      <w:rFonts w:hint="default"/>
                      <w:sz w:val="21"/>
                      <w:szCs w:val="21"/>
                    </w:rPr>
                  </w:pPr>
                  <w:r>
                    <w:rPr>
                      <w:rFonts w:hint="default"/>
                      <w:sz w:val="21"/>
                      <w:szCs w:val="21"/>
                    </w:rPr>
                    <w:t>UN编号</w:t>
                  </w:r>
                </w:p>
              </w:tc>
              <w:tc>
                <w:tcPr>
                  <w:tcW w:w="2972" w:type="dxa"/>
                  <w:gridSpan w:val="2"/>
                  <w:vAlign w:val="center"/>
                </w:tcPr>
                <w:p>
                  <w:pPr>
                    <w:pStyle w:val="27"/>
                    <w:rPr>
                      <w:rFonts w:hint="default"/>
                      <w:sz w:val="21"/>
                      <w:szCs w:val="21"/>
                    </w:rPr>
                  </w:pPr>
                  <w:r>
                    <w:rPr>
                      <w:rFonts w:hint="default"/>
                      <w:sz w:val="21"/>
                      <w:szCs w:val="21"/>
                    </w:rPr>
                    <w:t>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分子式</w:t>
                  </w:r>
                </w:p>
              </w:tc>
              <w:tc>
                <w:tcPr>
                  <w:tcW w:w="1319" w:type="dxa"/>
                  <w:vAlign w:val="center"/>
                </w:tcPr>
                <w:p>
                  <w:pPr>
                    <w:pStyle w:val="27"/>
                    <w:rPr>
                      <w:rFonts w:hint="default"/>
                      <w:sz w:val="21"/>
                      <w:szCs w:val="21"/>
                    </w:rPr>
                  </w:pPr>
                  <w:r>
                    <w:rPr>
                      <w:rFonts w:hint="default"/>
                      <w:sz w:val="21"/>
                      <w:szCs w:val="21"/>
                    </w:rPr>
                    <w:t>/</w:t>
                  </w:r>
                </w:p>
              </w:tc>
              <w:tc>
                <w:tcPr>
                  <w:tcW w:w="991" w:type="dxa"/>
                  <w:vAlign w:val="center"/>
                </w:tcPr>
                <w:p>
                  <w:pPr>
                    <w:pStyle w:val="27"/>
                    <w:rPr>
                      <w:rFonts w:hint="default"/>
                      <w:sz w:val="21"/>
                      <w:szCs w:val="21"/>
                    </w:rPr>
                  </w:pPr>
                  <w:r>
                    <w:rPr>
                      <w:rFonts w:hint="default"/>
                      <w:sz w:val="21"/>
                      <w:szCs w:val="21"/>
                    </w:rPr>
                    <w:t>分子量</w:t>
                  </w:r>
                </w:p>
              </w:tc>
              <w:tc>
                <w:tcPr>
                  <w:tcW w:w="649" w:type="dxa"/>
                  <w:vAlign w:val="center"/>
                </w:tcPr>
                <w:p>
                  <w:pPr>
                    <w:pStyle w:val="27"/>
                    <w:rPr>
                      <w:rFonts w:hint="default"/>
                      <w:sz w:val="21"/>
                      <w:szCs w:val="21"/>
                    </w:rPr>
                  </w:pPr>
                  <w:r>
                    <w:rPr>
                      <w:rFonts w:hint="default"/>
                      <w:sz w:val="21"/>
                      <w:szCs w:val="21"/>
                    </w:rPr>
                    <w:t>/</w:t>
                  </w:r>
                </w:p>
              </w:tc>
              <w:tc>
                <w:tcPr>
                  <w:tcW w:w="1841" w:type="dxa"/>
                  <w:vAlign w:val="center"/>
                </w:tcPr>
                <w:p>
                  <w:pPr>
                    <w:pStyle w:val="27"/>
                    <w:rPr>
                      <w:rFonts w:hint="default"/>
                      <w:sz w:val="21"/>
                      <w:szCs w:val="21"/>
                    </w:rPr>
                  </w:pPr>
                  <w:r>
                    <w:rPr>
                      <w:rFonts w:hint="default"/>
                      <w:sz w:val="21"/>
                      <w:szCs w:val="21"/>
                    </w:rPr>
                    <w:t>CAS号</w:t>
                  </w:r>
                </w:p>
              </w:tc>
              <w:tc>
                <w:tcPr>
                  <w:tcW w:w="2972" w:type="dxa"/>
                  <w:gridSpan w:val="2"/>
                  <w:vAlign w:val="center"/>
                </w:tcPr>
                <w:p>
                  <w:pPr>
                    <w:pStyle w:val="27"/>
                    <w:rPr>
                      <w:rFonts w:hint="default"/>
                      <w:sz w:val="21"/>
                      <w:szCs w:val="21"/>
                    </w:rPr>
                  </w:pPr>
                  <w:r>
                    <w:rPr>
                      <w:rFonts w:hint="default"/>
                      <w:sz w:val="21"/>
                      <w:szCs w:val="21"/>
                    </w:rPr>
                    <w:t>68476-85-7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vAlign w:val="center"/>
                </w:tcPr>
                <w:p>
                  <w:pPr>
                    <w:pStyle w:val="27"/>
                    <w:rPr>
                      <w:rFonts w:hint="default"/>
                      <w:sz w:val="21"/>
                      <w:szCs w:val="21"/>
                    </w:rPr>
                  </w:pPr>
                  <w:r>
                    <w:rPr>
                      <w:rFonts w:hint="default"/>
                      <w:sz w:val="21"/>
                      <w:szCs w:val="21"/>
                    </w:rPr>
                    <w:t>理化性质</w:t>
                  </w:r>
                </w:p>
              </w:tc>
              <w:tc>
                <w:tcPr>
                  <w:tcW w:w="1405" w:type="dxa"/>
                  <w:vAlign w:val="center"/>
                </w:tcPr>
                <w:p>
                  <w:pPr>
                    <w:pStyle w:val="27"/>
                    <w:rPr>
                      <w:rFonts w:hint="default"/>
                      <w:sz w:val="21"/>
                      <w:szCs w:val="21"/>
                    </w:rPr>
                  </w:pPr>
                  <w:r>
                    <w:rPr>
                      <w:rFonts w:hint="default"/>
                      <w:sz w:val="21"/>
                      <w:szCs w:val="21"/>
                    </w:rPr>
                    <w:t>外观与性状</w:t>
                  </w:r>
                </w:p>
              </w:tc>
              <w:tc>
                <w:tcPr>
                  <w:tcW w:w="7772" w:type="dxa"/>
                  <w:gridSpan w:val="6"/>
                  <w:vAlign w:val="center"/>
                </w:tcPr>
                <w:p>
                  <w:pPr>
                    <w:pStyle w:val="27"/>
                    <w:rPr>
                      <w:rFonts w:hint="default"/>
                      <w:sz w:val="21"/>
                      <w:szCs w:val="21"/>
                    </w:rPr>
                  </w:pPr>
                  <w:r>
                    <w:rPr>
                      <w:rFonts w:hint="default"/>
                      <w:sz w:val="21"/>
                      <w:szCs w:val="21"/>
                    </w:rPr>
                    <w:t>无色气体或黄棕色油状液体，有特殊臭味。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熔点℃</w:t>
                  </w:r>
                </w:p>
              </w:tc>
              <w:tc>
                <w:tcPr>
                  <w:tcW w:w="1319" w:type="dxa"/>
                  <w:vAlign w:val="center"/>
                </w:tcPr>
                <w:p>
                  <w:pPr>
                    <w:pStyle w:val="27"/>
                    <w:rPr>
                      <w:rFonts w:hint="default"/>
                      <w:sz w:val="21"/>
                      <w:szCs w:val="21"/>
                    </w:rPr>
                  </w:pPr>
                  <w:r>
                    <w:rPr>
                      <w:rFonts w:hint="default"/>
                      <w:sz w:val="21"/>
                      <w:szCs w:val="21"/>
                    </w:rPr>
                    <w:t>/</w:t>
                  </w:r>
                </w:p>
              </w:tc>
              <w:tc>
                <w:tcPr>
                  <w:tcW w:w="1640" w:type="dxa"/>
                  <w:gridSpan w:val="2"/>
                  <w:vAlign w:val="center"/>
                </w:tcPr>
                <w:p>
                  <w:pPr>
                    <w:pStyle w:val="27"/>
                    <w:rPr>
                      <w:rFonts w:hint="default"/>
                      <w:sz w:val="21"/>
                      <w:szCs w:val="21"/>
                    </w:rPr>
                  </w:pPr>
                  <w:r>
                    <w:rPr>
                      <w:rFonts w:hint="default"/>
                      <w:sz w:val="21"/>
                      <w:szCs w:val="21"/>
                    </w:rPr>
                    <w:t>相对密度(水=1)</w:t>
                  </w:r>
                </w:p>
              </w:tc>
              <w:tc>
                <w:tcPr>
                  <w:tcW w:w="1841" w:type="dxa"/>
                  <w:vAlign w:val="center"/>
                </w:tcPr>
                <w:p>
                  <w:pPr>
                    <w:pStyle w:val="27"/>
                    <w:rPr>
                      <w:rFonts w:hint="default"/>
                      <w:sz w:val="21"/>
                      <w:szCs w:val="21"/>
                    </w:rPr>
                  </w:pPr>
                  <w:r>
                    <w:rPr>
                      <w:rFonts w:hint="default"/>
                      <w:sz w:val="21"/>
                      <w:szCs w:val="21"/>
                    </w:rPr>
                    <w:t>/</w:t>
                  </w:r>
                </w:p>
              </w:tc>
              <w:tc>
                <w:tcPr>
                  <w:tcW w:w="1868" w:type="dxa"/>
                  <w:vAlign w:val="center"/>
                </w:tcPr>
                <w:p>
                  <w:pPr>
                    <w:pStyle w:val="27"/>
                    <w:rPr>
                      <w:rFonts w:hint="default"/>
                      <w:sz w:val="21"/>
                      <w:szCs w:val="21"/>
                    </w:rPr>
                  </w:pPr>
                  <w:r>
                    <w:rPr>
                      <w:rFonts w:hint="default"/>
                      <w:sz w:val="21"/>
                      <w:szCs w:val="21"/>
                    </w:rPr>
                    <w:t>相对密度(空气=1)</w:t>
                  </w:r>
                </w:p>
              </w:tc>
              <w:tc>
                <w:tcPr>
                  <w:tcW w:w="1104" w:type="dxa"/>
                  <w:vAlign w:val="center"/>
                </w:tcPr>
                <w:p>
                  <w:pPr>
                    <w:pStyle w:val="27"/>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沸点℃</w:t>
                  </w:r>
                </w:p>
              </w:tc>
              <w:tc>
                <w:tcPr>
                  <w:tcW w:w="2959" w:type="dxa"/>
                  <w:gridSpan w:val="3"/>
                  <w:vAlign w:val="center"/>
                </w:tcPr>
                <w:p>
                  <w:pPr>
                    <w:pStyle w:val="27"/>
                    <w:rPr>
                      <w:rFonts w:hint="default"/>
                      <w:sz w:val="21"/>
                      <w:szCs w:val="21"/>
                    </w:rPr>
                  </w:pPr>
                  <w:r>
                    <w:rPr>
                      <w:rFonts w:hint="default"/>
                      <w:sz w:val="21"/>
                      <w:szCs w:val="21"/>
                    </w:rPr>
                    <w:t>120~200</w:t>
                  </w:r>
                </w:p>
              </w:tc>
              <w:tc>
                <w:tcPr>
                  <w:tcW w:w="1841" w:type="dxa"/>
                  <w:vAlign w:val="center"/>
                </w:tcPr>
                <w:p>
                  <w:pPr>
                    <w:pStyle w:val="27"/>
                    <w:rPr>
                      <w:rFonts w:hint="default"/>
                      <w:sz w:val="21"/>
                      <w:szCs w:val="21"/>
                    </w:rPr>
                  </w:pPr>
                  <w:r>
                    <w:rPr>
                      <w:rFonts w:hint="default"/>
                      <w:sz w:val="21"/>
                      <w:szCs w:val="21"/>
                    </w:rPr>
                    <w:t>饱和蒸汽压（kPa）</w:t>
                  </w:r>
                </w:p>
              </w:tc>
              <w:tc>
                <w:tcPr>
                  <w:tcW w:w="2972" w:type="dxa"/>
                  <w:gridSpan w:val="2"/>
                  <w:vAlign w:val="center"/>
                </w:tcPr>
                <w:p>
                  <w:pPr>
                    <w:pStyle w:val="27"/>
                    <w:rPr>
                      <w:rFonts w:hint="default"/>
                      <w:sz w:val="21"/>
                      <w:szCs w:val="21"/>
                    </w:rPr>
                  </w:pPr>
                  <w:r>
                    <w:rPr>
                      <w:rFonts w:hint="default"/>
                      <w:sz w:val="21"/>
                      <w:szCs w:val="21"/>
                    </w:rPr>
                    <w:t>1380/37.8℃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溶解性</w:t>
                  </w:r>
                </w:p>
              </w:tc>
              <w:tc>
                <w:tcPr>
                  <w:tcW w:w="7772" w:type="dxa"/>
                  <w:gridSpan w:val="6"/>
                  <w:vAlign w:val="center"/>
                </w:tcPr>
                <w:p>
                  <w:pPr>
                    <w:pStyle w:val="27"/>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vAlign w:val="center"/>
                </w:tcPr>
                <w:p>
                  <w:pPr>
                    <w:pStyle w:val="27"/>
                    <w:rPr>
                      <w:rFonts w:hint="default"/>
                      <w:sz w:val="21"/>
                      <w:szCs w:val="21"/>
                    </w:rPr>
                  </w:pPr>
                  <w:r>
                    <w:rPr>
                      <w:rFonts w:hint="default"/>
                      <w:sz w:val="21"/>
                      <w:szCs w:val="21"/>
                    </w:rPr>
                    <w:t>毒性及健康危害</w:t>
                  </w:r>
                </w:p>
              </w:tc>
              <w:tc>
                <w:tcPr>
                  <w:tcW w:w="1405" w:type="dxa"/>
                  <w:vAlign w:val="center"/>
                </w:tcPr>
                <w:p>
                  <w:pPr>
                    <w:pStyle w:val="27"/>
                    <w:rPr>
                      <w:rFonts w:hint="default"/>
                      <w:sz w:val="21"/>
                      <w:szCs w:val="21"/>
                    </w:rPr>
                  </w:pPr>
                  <w:r>
                    <w:rPr>
                      <w:rFonts w:hint="default"/>
                      <w:sz w:val="21"/>
                      <w:szCs w:val="21"/>
                    </w:rPr>
                    <w:t>侵入途径</w:t>
                  </w:r>
                </w:p>
              </w:tc>
              <w:tc>
                <w:tcPr>
                  <w:tcW w:w="7772" w:type="dxa"/>
                  <w:gridSpan w:val="6"/>
                  <w:vAlign w:val="center"/>
                </w:tcPr>
                <w:p>
                  <w:pPr>
                    <w:pStyle w:val="27"/>
                    <w:rPr>
                      <w:rFonts w:hint="default"/>
                      <w:sz w:val="21"/>
                      <w:szCs w:val="21"/>
                    </w:rPr>
                  </w:pPr>
                  <w:r>
                    <w:rPr>
                      <w:rFonts w:hint="default"/>
                      <w:sz w:val="21"/>
                      <w:szCs w:val="21"/>
                    </w:rPr>
                    <w:t>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毒性</w:t>
                  </w:r>
                </w:p>
              </w:tc>
              <w:tc>
                <w:tcPr>
                  <w:tcW w:w="7772" w:type="dxa"/>
                  <w:gridSpan w:val="6"/>
                  <w:vAlign w:val="center"/>
                </w:tcPr>
                <w:p>
                  <w:pPr>
                    <w:pStyle w:val="27"/>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健康危害</w:t>
                  </w:r>
                </w:p>
              </w:tc>
              <w:tc>
                <w:tcPr>
                  <w:tcW w:w="7772" w:type="dxa"/>
                  <w:gridSpan w:val="6"/>
                  <w:vAlign w:val="center"/>
                </w:tcPr>
                <w:p>
                  <w:pPr>
                    <w:pStyle w:val="27"/>
                    <w:rPr>
                      <w:rFonts w:hint="default"/>
                      <w:sz w:val="21"/>
                      <w:szCs w:val="21"/>
                    </w:rPr>
                  </w:pPr>
                  <w:r>
                    <w:rPr>
                      <w:rFonts w:hint="default"/>
                      <w:sz w:val="21"/>
                      <w:szCs w:val="21"/>
                    </w:rPr>
                    <w:t>本品有麻醉作用。中毒症状有头晕、头痛、兴奋或嗜睡、恶心、呕吐、脉缓等症状，严重时有麻醉状态及意识丧失。长期接触低浓度者，可出现头痛、头晕、睡眠不佳、易疲劳、情绪不稳、植物神经功能障碍等。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急救方法</w:t>
                  </w:r>
                </w:p>
              </w:tc>
              <w:tc>
                <w:tcPr>
                  <w:tcW w:w="7772" w:type="dxa"/>
                  <w:gridSpan w:val="6"/>
                  <w:vAlign w:val="center"/>
                </w:tcPr>
                <w:p>
                  <w:pPr>
                    <w:pStyle w:val="27"/>
                    <w:rPr>
                      <w:rFonts w:hint="default"/>
                      <w:sz w:val="21"/>
                      <w:szCs w:val="21"/>
                    </w:rPr>
                  </w:pPr>
                  <w:r>
                    <w:rPr>
                      <w:rFonts w:hint="default"/>
                      <w:sz w:val="21"/>
                      <w:szCs w:val="21"/>
                    </w:rPr>
                    <w:t>皮肤接触：若有冻伤，就医治疗。吸入：迅速脱离现场至空气新鲜处。保持呼吸道通畅。如呼吸困难，给输氧。如呼吸停止，立即进行人工呼吸</w:t>
                  </w:r>
                  <w:r>
                    <w:rPr>
                      <w:rFonts w:hint="eastAsia"/>
                      <w:sz w:val="21"/>
                      <w:szCs w:val="21"/>
                      <w:lang w:eastAsia="zh-CN"/>
                    </w:rPr>
                    <w:t>，</w:t>
                  </w:r>
                  <w:r>
                    <w:rPr>
                      <w:rFonts w:hint="default"/>
                      <w:sz w:val="21"/>
                      <w:szCs w:val="21"/>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restart"/>
                  <w:vAlign w:val="center"/>
                </w:tcPr>
                <w:p>
                  <w:pPr>
                    <w:pStyle w:val="27"/>
                    <w:rPr>
                      <w:rFonts w:hint="default"/>
                      <w:sz w:val="21"/>
                      <w:szCs w:val="21"/>
                    </w:rPr>
                  </w:pPr>
                  <w:r>
                    <w:rPr>
                      <w:rFonts w:hint="default"/>
                      <w:sz w:val="21"/>
                      <w:szCs w:val="21"/>
                    </w:rPr>
                    <w:t>燃烧爆炸危险性</w:t>
                  </w:r>
                </w:p>
              </w:tc>
              <w:tc>
                <w:tcPr>
                  <w:tcW w:w="1405" w:type="dxa"/>
                  <w:vAlign w:val="center"/>
                </w:tcPr>
                <w:p>
                  <w:pPr>
                    <w:pStyle w:val="27"/>
                    <w:rPr>
                      <w:rFonts w:hint="default"/>
                      <w:sz w:val="21"/>
                      <w:szCs w:val="21"/>
                    </w:rPr>
                  </w:pPr>
                  <w:r>
                    <w:rPr>
                      <w:rFonts w:hint="default"/>
                      <w:sz w:val="21"/>
                      <w:szCs w:val="21"/>
                    </w:rPr>
                    <w:t>燃烧性</w:t>
                  </w:r>
                </w:p>
              </w:tc>
              <w:tc>
                <w:tcPr>
                  <w:tcW w:w="2959" w:type="dxa"/>
                  <w:gridSpan w:val="3"/>
                  <w:vAlign w:val="center"/>
                </w:tcPr>
                <w:p>
                  <w:pPr>
                    <w:pStyle w:val="27"/>
                    <w:rPr>
                      <w:rFonts w:hint="default"/>
                      <w:sz w:val="21"/>
                      <w:szCs w:val="21"/>
                    </w:rPr>
                  </w:pPr>
                  <w:r>
                    <w:rPr>
                      <w:rFonts w:hint="default"/>
                      <w:sz w:val="21"/>
                      <w:szCs w:val="21"/>
                    </w:rPr>
                    <w:t>易燃</w:t>
                  </w:r>
                </w:p>
              </w:tc>
              <w:tc>
                <w:tcPr>
                  <w:tcW w:w="1841" w:type="dxa"/>
                  <w:vAlign w:val="center"/>
                </w:tcPr>
                <w:p>
                  <w:pPr>
                    <w:pStyle w:val="27"/>
                    <w:rPr>
                      <w:rFonts w:hint="default"/>
                      <w:sz w:val="21"/>
                      <w:szCs w:val="21"/>
                    </w:rPr>
                  </w:pPr>
                  <w:r>
                    <w:rPr>
                      <w:rFonts w:hint="default"/>
                      <w:sz w:val="21"/>
                      <w:szCs w:val="21"/>
                    </w:rPr>
                    <w:t>燃烧分解物</w:t>
                  </w:r>
                </w:p>
              </w:tc>
              <w:tc>
                <w:tcPr>
                  <w:tcW w:w="2972" w:type="dxa"/>
                  <w:gridSpan w:val="2"/>
                  <w:vAlign w:val="center"/>
                </w:tcPr>
                <w:p>
                  <w:pPr>
                    <w:pStyle w:val="27"/>
                    <w:rPr>
                      <w:rFonts w:hint="default"/>
                      <w:sz w:val="21"/>
                      <w:szCs w:val="21"/>
                    </w:rPr>
                  </w:pPr>
                  <w:r>
                    <w:rPr>
                      <w:rFonts w:hint="default"/>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闪点℃</w:t>
                  </w:r>
                </w:p>
              </w:tc>
              <w:tc>
                <w:tcPr>
                  <w:tcW w:w="2959" w:type="dxa"/>
                  <w:gridSpan w:val="3"/>
                  <w:vAlign w:val="center"/>
                </w:tcPr>
                <w:p>
                  <w:pPr>
                    <w:pStyle w:val="27"/>
                    <w:rPr>
                      <w:rFonts w:hint="default"/>
                      <w:sz w:val="21"/>
                      <w:szCs w:val="21"/>
                    </w:rPr>
                  </w:pPr>
                  <w:r>
                    <w:rPr>
                      <w:rFonts w:hint="default"/>
                      <w:sz w:val="21"/>
                      <w:szCs w:val="21"/>
                    </w:rPr>
                    <w:t>-74</w:t>
                  </w:r>
                </w:p>
              </w:tc>
              <w:tc>
                <w:tcPr>
                  <w:tcW w:w="1841" w:type="dxa"/>
                  <w:vAlign w:val="center"/>
                </w:tcPr>
                <w:p>
                  <w:pPr>
                    <w:pStyle w:val="27"/>
                    <w:rPr>
                      <w:rFonts w:hint="default"/>
                      <w:sz w:val="21"/>
                      <w:szCs w:val="21"/>
                    </w:rPr>
                  </w:pPr>
                  <w:r>
                    <w:rPr>
                      <w:rFonts w:hint="default"/>
                      <w:sz w:val="21"/>
                      <w:szCs w:val="21"/>
                    </w:rPr>
                    <w:t>爆炸上限（v%）</w:t>
                  </w:r>
                </w:p>
              </w:tc>
              <w:tc>
                <w:tcPr>
                  <w:tcW w:w="2972" w:type="dxa"/>
                  <w:gridSpan w:val="2"/>
                  <w:vAlign w:val="center"/>
                </w:tcPr>
                <w:p>
                  <w:pPr>
                    <w:pStyle w:val="27"/>
                    <w:rPr>
                      <w:rFonts w:hint="default"/>
                      <w:sz w:val="21"/>
                      <w:szCs w:val="21"/>
                    </w:rPr>
                  </w:pPr>
                  <w:r>
                    <w:rPr>
                      <w:rFonts w:hint="default"/>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引燃温度℃</w:t>
                  </w:r>
                </w:p>
              </w:tc>
              <w:tc>
                <w:tcPr>
                  <w:tcW w:w="2959" w:type="dxa"/>
                  <w:gridSpan w:val="3"/>
                  <w:vAlign w:val="center"/>
                </w:tcPr>
                <w:p>
                  <w:pPr>
                    <w:pStyle w:val="27"/>
                    <w:rPr>
                      <w:rFonts w:hint="default"/>
                      <w:sz w:val="21"/>
                      <w:szCs w:val="21"/>
                    </w:rPr>
                  </w:pPr>
                  <w:r>
                    <w:rPr>
                      <w:rFonts w:hint="default"/>
                      <w:sz w:val="21"/>
                      <w:szCs w:val="21"/>
                    </w:rPr>
                    <w:t>426～537</w:t>
                  </w:r>
                </w:p>
              </w:tc>
              <w:tc>
                <w:tcPr>
                  <w:tcW w:w="1841" w:type="dxa"/>
                  <w:vAlign w:val="center"/>
                </w:tcPr>
                <w:p>
                  <w:pPr>
                    <w:pStyle w:val="27"/>
                    <w:rPr>
                      <w:rFonts w:hint="default"/>
                      <w:sz w:val="21"/>
                      <w:szCs w:val="21"/>
                    </w:rPr>
                  </w:pPr>
                  <w:r>
                    <w:rPr>
                      <w:rFonts w:hint="default"/>
                      <w:sz w:val="21"/>
                      <w:szCs w:val="21"/>
                    </w:rPr>
                    <w:t>爆炸下限（v%）</w:t>
                  </w:r>
                </w:p>
              </w:tc>
              <w:tc>
                <w:tcPr>
                  <w:tcW w:w="2972" w:type="dxa"/>
                  <w:gridSpan w:val="2"/>
                  <w:vAlign w:val="center"/>
                </w:tcPr>
                <w:p>
                  <w:pPr>
                    <w:pStyle w:val="27"/>
                    <w:rPr>
                      <w:rFonts w:hint="default"/>
                      <w:sz w:val="21"/>
                      <w:szCs w:val="21"/>
                    </w:rPr>
                  </w:pPr>
                  <w:r>
                    <w:rPr>
                      <w:rFonts w:hint="default"/>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危险特性</w:t>
                  </w:r>
                </w:p>
              </w:tc>
              <w:tc>
                <w:tcPr>
                  <w:tcW w:w="7772" w:type="dxa"/>
                  <w:gridSpan w:val="6"/>
                  <w:vAlign w:val="center"/>
                </w:tcPr>
                <w:p>
                  <w:pPr>
                    <w:pStyle w:val="27"/>
                    <w:rPr>
                      <w:rFonts w:hint="default"/>
                      <w:sz w:val="21"/>
                      <w:szCs w:val="21"/>
                    </w:rPr>
                  </w:pPr>
                  <w:r>
                    <w:rPr>
                      <w:rFonts w:hint="default"/>
                      <w:sz w:val="21"/>
                      <w:szCs w:val="21"/>
                    </w:rPr>
                    <w:t>与空气混合能形成爆炸性混合物，遇明火、高热极易燃烧爆炸。与氟、氯等能发生剧烈的化学反应。其蒸气比空气重，能在较低处扩散到相当远的地方，遇明火会引着回燃。若遇高热，容器内压增大，有开裂和爆炸的危险。液化石油气与皮肤接触会造成严重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建规火险分级</w:t>
                  </w:r>
                </w:p>
              </w:tc>
              <w:tc>
                <w:tcPr>
                  <w:tcW w:w="1319" w:type="dxa"/>
                  <w:vAlign w:val="center"/>
                </w:tcPr>
                <w:p>
                  <w:pPr>
                    <w:pStyle w:val="27"/>
                    <w:rPr>
                      <w:rFonts w:hint="default"/>
                      <w:sz w:val="21"/>
                      <w:szCs w:val="21"/>
                    </w:rPr>
                  </w:pPr>
                  <w:r>
                    <w:rPr>
                      <w:rFonts w:hint="default"/>
                      <w:sz w:val="21"/>
                      <w:szCs w:val="21"/>
                    </w:rPr>
                    <w:t>甲</w:t>
                  </w:r>
                </w:p>
              </w:tc>
              <w:tc>
                <w:tcPr>
                  <w:tcW w:w="1640" w:type="dxa"/>
                  <w:gridSpan w:val="2"/>
                  <w:vAlign w:val="center"/>
                </w:tcPr>
                <w:p>
                  <w:pPr>
                    <w:pStyle w:val="27"/>
                    <w:rPr>
                      <w:rFonts w:hint="default"/>
                      <w:sz w:val="21"/>
                      <w:szCs w:val="21"/>
                    </w:rPr>
                  </w:pPr>
                  <w:r>
                    <w:rPr>
                      <w:rFonts w:hint="default"/>
                      <w:sz w:val="21"/>
                      <w:szCs w:val="21"/>
                    </w:rPr>
                    <w:t>稳定性</w:t>
                  </w:r>
                </w:p>
              </w:tc>
              <w:tc>
                <w:tcPr>
                  <w:tcW w:w="1841" w:type="dxa"/>
                  <w:vAlign w:val="center"/>
                </w:tcPr>
                <w:p>
                  <w:pPr>
                    <w:pStyle w:val="27"/>
                    <w:rPr>
                      <w:rFonts w:hint="default"/>
                      <w:sz w:val="21"/>
                      <w:szCs w:val="21"/>
                    </w:rPr>
                  </w:pPr>
                  <w:r>
                    <w:rPr>
                      <w:rFonts w:hint="default"/>
                      <w:sz w:val="21"/>
                      <w:szCs w:val="21"/>
                    </w:rPr>
                    <w:t>稳定</w:t>
                  </w:r>
                </w:p>
              </w:tc>
              <w:tc>
                <w:tcPr>
                  <w:tcW w:w="1868" w:type="dxa"/>
                  <w:vAlign w:val="center"/>
                </w:tcPr>
                <w:p>
                  <w:pPr>
                    <w:pStyle w:val="27"/>
                    <w:rPr>
                      <w:rFonts w:hint="default"/>
                      <w:sz w:val="21"/>
                      <w:szCs w:val="21"/>
                    </w:rPr>
                  </w:pPr>
                  <w:r>
                    <w:rPr>
                      <w:rFonts w:hint="default"/>
                      <w:sz w:val="21"/>
                      <w:szCs w:val="21"/>
                    </w:rPr>
                    <w:t>聚合危害</w:t>
                  </w:r>
                </w:p>
              </w:tc>
              <w:tc>
                <w:tcPr>
                  <w:tcW w:w="1104" w:type="dxa"/>
                  <w:vAlign w:val="center"/>
                </w:tcPr>
                <w:p>
                  <w:pPr>
                    <w:pStyle w:val="27"/>
                    <w:rPr>
                      <w:rFonts w:hint="default"/>
                      <w:sz w:val="21"/>
                      <w:szCs w:val="21"/>
                    </w:rPr>
                  </w:pPr>
                  <w:r>
                    <w:rPr>
                      <w:rFonts w:hint="default"/>
                      <w:sz w:val="21"/>
                      <w:szCs w:val="21"/>
                    </w:rPr>
                    <w:t>不能出现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禁忌物</w:t>
                  </w:r>
                </w:p>
              </w:tc>
              <w:tc>
                <w:tcPr>
                  <w:tcW w:w="7772" w:type="dxa"/>
                  <w:gridSpan w:val="6"/>
                  <w:vAlign w:val="center"/>
                </w:tcPr>
                <w:p>
                  <w:pPr>
                    <w:pStyle w:val="27"/>
                    <w:rPr>
                      <w:rFonts w:hint="default"/>
                      <w:sz w:val="21"/>
                      <w:szCs w:val="21"/>
                    </w:rPr>
                  </w:pPr>
                  <w:r>
                    <w:rPr>
                      <w:rFonts w:hint="default"/>
                      <w:sz w:val="21"/>
                      <w:szCs w:val="21"/>
                    </w:rPr>
                    <w:t>强氧化剂、卤素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储运条件与泄漏处理</w:t>
                  </w:r>
                </w:p>
              </w:tc>
              <w:tc>
                <w:tcPr>
                  <w:tcW w:w="7772" w:type="dxa"/>
                  <w:gridSpan w:val="6"/>
                  <w:vAlign w:val="center"/>
                </w:tcPr>
                <w:p>
                  <w:pPr>
                    <w:pStyle w:val="27"/>
                    <w:rPr>
                      <w:rFonts w:hint="default"/>
                      <w:sz w:val="21"/>
                      <w:szCs w:val="21"/>
                    </w:rPr>
                  </w:pPr>
                  <w:r>
                    <w:rPr>
                      <w:rFonts w:hint="default"/>
                      <w:sz w:val="21"/>
                      <w:szCs w:val="21"/>
                    </w:rPr>
                    <w:t>储运条件：储存于阴凉、干燥、通风良好的不燃库房。仓温不宜超过30℃。远离火种、热源。防止阳光直射。应与氧气、压缩空气、卤素（氟、氯、溴）、氧化剂等分开存放。储存间内的照明、通风等设施应采用防爆型；罐储应有防火防爆技术措施。禁止使用易产生火花的机械设备和工具。槽车运送时要灌装适量，不可超压超量运输。搬运时轻装轻卸，防止钢瓶及附件破损。泄漏处理：切断火源。戴自给式呼吸器，穿一般消防防护服。合理通风，禁止泄漏物进入受限制的空间(如下水道等</w:t>
                  </w:r>
                  <w:r>
                    <w:rPr>
                      <w:rFonts w:hint="eastAsia"/>
                      <w:sz w:val="21"/>
                      <w:szCs w:val="21"/>
                      <w:lang w:eastAsia="zh-CN"/>
                    </w:rPr>
                    <w:t>）</w:t>
                  </w:r>
                  <w:r>
                    <w:rPr>
                      <w:rFonts w:hint="default"/>
                      <w:sz w:val="21"/>
                      <w:szCs w:val="21"/>
                    </w:rPr>
                    <w:t>，以避免发生爆炸。切断气源，喷洒雾状水稀释，抽排(室内</w:t>
                  </w:r>
                  <w:r>
                    <w:rPr>
                      <w:rFonts w:hint="eastAsia"/>
                      <w:sz w:val="21"/>
                      <w:szCs w:val="21"/>
                      <w:lang w:eastAsia="zh-CN"/>
                    </w:rPr>
                    <w:t>）</w:t>
                  </w:r>
                  <w:r>
                    <w:rPr>
                      <w:rFonts w:hint="default"/>
                      <w:sz w:val="21"/>
                      <w:szCs w:val="21"/>
                    </w:rPr>
                    <w:t>或强力通风(室外</w:t>
                  </w:r>
                  <w:r>
                    <w:rPr>
                      <w:rFonts w:hint="eastAsia"/>
                      <w:sz w:val="21"/>
                      <w:szCs w:val="21"/>
                      <w:lang w:eastAsia="zh-CN"/>
                    </w:rPr>
                    <w:t>）</w:t>
                  </w:r>
                  <w:r>
                    <w:rPr>
                      <w:rFonts w:hint="default"/>
                      <w:sz w:val="21"/>
                      <w:szCs w:val="21"/>
                    </w:rPr>
                    <w:t>。漏气容器不能再用，且要经过技术处理以清除可能剩下的气体。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dxa"/>
                  <w:vMerge w:val="continue"/>
                  <w:vAlign w:val="center"/>
                </w:tcPr>
                <w:p>
                  <w:pPr>
                    <w:pStyle w:val="27"/>
                    <w:rPr>
                      <w:rFonts w:hint="default"/>
                      <w:sz w:val="21"/>
                      <w:szCs w:val="21"/>
                    </w:rPr>
                  </w:pPr>
                </w:p>
              </w:tc>
              <w:tc>
                <w:tcPr>
                  <w:tcW w:w="1405" w:type="dxa"/>
                  <w:vAlign w:val="center"/>
                </w:tcPr>
                <w:p>
                  <w:pPr>
                    <w:pStyle w:val="27"/>
                    <w:rPr>
                      <w:rFonts w:hint="default"/>
                      <w:sz w:val="21"/>
                      <w:szCs w:val="21"/>
                    </w:rPr>
                  </w:pPr>
                  <w:r>
                    <w:rPr>
                      <w:rFonts w:hint="default"/>
                      <w:sz w:val="21"/>
                      <w:szCs w:val="21"/>
                    </w:rPr>
                    <w:t>灭火方法</w:t>
                  </w:r>
                </w:p>
              </w:tc>
              <w:tc>
                <w:tcPr>
                  <w:tcW w:w="7772" w:type="dxa"/>
                  <w:gridSpan w:val="6"/>
                  <w:vAlign w:val="center"/>
                </w:tcPr>
                <w:p>
                  <w:pPr>
                    <w:pStyle w:val="27"/>
                    <w:rPr>
                      <w:rFonts w:hint="default"/>
                      <w:sz w:val="21"/>
                      <w:szCs w:val="21"/>
                    </w:rPr>
                  </w:pPr>
                  <w:r>
                    <w:rPr>
                      <w:rFonts w:hint="default"/>
                      <w:sz w:val="21"/>
                      <w:szCs w:val="21"/>
                    </w:rPr>
                    <w:t>切断气源。若不能立即切断气源，则不允许熄灭正在燃烧的气体，喷水冷却容器，可能的话将容器从火场移至空旷处。用雾状水、泡沫、二氧化碳灭火</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lang w:val="en-US" w:eastAsia="zh-CN"/>
              </w:rPr>
            </w:pPr>
            <w:r>
              <w:rPr>
                <w:rFonts w:hint="eastAsia"/>
                <w:sz w:val="24"/>
                <w:szCs w:val="24"/>
                <w:lang w:eastAsia="zh-CN"/>
              </w:rPr>
              <w:t>表</w:t>
            </w:r>
            <w:r>
              <w:rPr>
                <w:rFonts w:hint="eastAsia"/>
                <w:sz w:val="24"/>
                <w:szCs w:val="24"/>
                <w:lang w:val="en-US" w:eastAsia="zh-CN"/>
              </w:rPr>
              <w:t>2-7 液氧理化特性一览表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116"/>
              <w:gridCol w:w="1105"/>
              <w:gridCol w:w="786"/>
              <w:gridCol w:w="666"/>
              <w:gridCol w:w="1494"/>
              <w:gridCol w:w="1453"/>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restart"/>
                  <w:vAlign w:val="center"/>
                </w:tcPr>
                <w:p>
                  <w:pPr>
                    <w:pStyle w:val="27"/>
                    <w:rPr>
                      <w:rFonts w:hint="default"/>
                      <w:sz w:val="21"/>
                      <w:szCs w:val="21"/>
                    </w:rPr>
                  </w:pPr>
                  <w:r>
                    <w:rPr>
                      <w:rFonts w:hint="default"/>
                      <w:sz w:val="21"/>
                      <w:szCs w:val="21"/>
                    </w:rPr>
                    <w:t>标识</w:t>
                  </w:r>
                </w:p>
              </w:tc>
              <w:tc>
                <w:tcPr>
                  <w:tcW w:w="1161" w:type="dxa"/>
                  <w:vAlign w:val="center"/>
                </w:tcPr>
                <w:p>
                  <w:pPr>
                    <w:pStyle w:val="27"/>
                    <w:rPr>
                      <w:rFonts w:hint="default"/>
                      <w:sz w:val="21"/>
                      <w:szCs w:val="21"/>
                    </w:rPr>
                  </w:pPr>
                  <w:r>
                    <w:rPr>
                      <w:rFonts w:hint="default"/>
                      <w:sz w:val="21"/>
                      <w:szCs w:val="21"/>
                    </w:rPr>
                    <w:t>中文名称</w:t>
                  </w:r>
                </w:p>
              </w:tc>
              <w:tc>
                <w:tcPr>
                  <w:tcW w:w="2654" w:type="dxa"/>
                  <w:gridSpan w:val="3"/>
                  <w:vAlign w:val="center"/>
                </w:tcPr>
                <w:p>
                  <w:pPr>
                    <w:pStyle w:val="27"/>
                    <w:rPr>
                      <w:rFonts w:hint="default"/>
                      <w:sz w:val="21"/>
                      <w:szCs w:val="21"/>
                      <w:lang w:val="en-US" w:eastAsia="zh-CN"/>
                    </w:rPr>
                  </w:pPr>
                  <w:r>
                    <w:rPr>
                      <w:rFonts w:hint="eastAsia"/>
                      <w:sz w:val="21"/>
                      <w:szCs w:val="21"/>
                      <w:lang w:eastAsia="zh-CN"/>
                    </w:rPr>
                    <w:t>氧</w:t>
                  </w:r>
                  <w:r>
                    <w:rPr>
                      <w:rFonts w:hint="eastAsia"/>
                      <w:sz w:val="21"/>
                      <w:szCs w:val="21"/>
                      <w:lang w:val="en-US" w:eastAsia="zh-CN"/>
                    </w:rPr>
                    <w:t>[液化的]；液氧</w:t>
                  </w:r>
                </w:p>
              </w:tc>
              <w:tc>
                <w:tcPr>
                  <w:tcW w:w="1559" w:type="dxa"/>
                  <w:vAlign w:val="center"/>
                </w:tcPr>
                <w:p>
                  <w:pPr>
                    <w:pStyle w:val="27"/>
                    <w:rPr>
                      <w:rFonts w:hint="default"/>
                      <w:sz w:val="21"/>
                      <w:szCs w:val="21"/>
                    </w:rPr>
                  </w:pPr>
                  <w:r>
                    <w:rPr>
                      <w:rFonts w:hint="default"/>
                      <w:sz w:val="21"/>
                      <w:szCs w:val="21"/>
                    </w:rPr>
                    <w:t>危险货物编号</w:t>
                  </w:r>
                </w:p>
              </w:tc>
              <w:tc>
                <w:tcPr>
                  <w:tcW w:w="2489" w:type="dxa"/>
                  <w:gridSpan w:val="2"/>
                  <w:vAlign w:val="center"/>
                </w:tcPr>
                <w:p>
                  <w:pPr>
                    <w:pStyle w:val="27"/>
                    <w:rPr>
                      <w:rFonts w:hint="default"/>
                      <w:sz w:val="21"/>
                      <w:szCs w:val="21"/>
                      <w:lang w:val="en-US" w:eastAsia="zh-CN"/>
                    </w:rPr>
                  </w:pPr>
                  <w:r>
                    <w:rPr>
                      <w:rFonts w:hint="eastAsia"/>
                      <w:sz w:val="21"/>
                      <w:szCs w:val="21"/>
                      <w:lang w:val="en-US" w:eastAsia="zh-CN"/>
                    </w:rPr>
                    <w:t>22002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英文名称</w:t>
                  </w:r>
                </w:p>
              </w:tc>
              <w:tc>
                <w:tcPr>
                  <w:tcW w:w="2654" w:type="dxa"/>
                  <w:gridSpan w:val="3"/>
                  <w:vAlign w:val="center"/>
                </w:tcPr>
                <w:p>
                  <w:pPr>
                    <w:pStyle w:val="27"/>
                    <w:rPr>
                      <w:rFonts w:hint="default"/>
                      <w:sz w:val="21"/>
                      <w:szCs w:val="21"/>
                      <w:lang w:val="en-US" w:eastAsia="zh-CN"/>
                    </w:rPr>
                  </w:pPr>
                  <w:r>
                    <w:rPr>
                      <w:rFonts w:hint="eastAsia"/>
                      <w:sz w:val="21"/>
                      <w:szCs w:val="21"/>
                      <w:lang w:val="en-US" w:eastAsia="zh-CN"/>
                    </w:rPr>
                    <w:t>Oxygen,refrigerated liquid</w:t>
                  </w:r>
                </w:p>
              </w:tc>
              <w:tc>
                <w:tcPr>
                  <w:tcW w:w="1559" w:type="dxa"/>
                  <w:vAlign w:val="center"/>
                </w:tcPr>
                <w:p>
                  <w:pPr>
                    <w:pStyle w:val="27"/>
                    <w:rPr>
                      <w:rFonts w:hint="default"/>
                      <w:sz w:val="21"/>
                      <w:szCs w:val="21"/>
                    </w:rPr>
                  </w:pPr>
                  <w:r>
                    <w:rPr>
                      <w:rFonts w:hint="default"/>
                      <w:sz w:val="21"/>
                      <w:szCs w:val="21"/>
                    </w:rPr>
                    <w:t>UN编号</w:t>
                  </w:r>
                </w:p>
              </w:tc>
              <w:tc>
                <w:tcPr>
                  <w:tcW w:w="2489" w:type="dxa"/>
                  <w:gridSpan w:val="2"/>
                  <w:vAlign w:val="center"/>
                </w:tcPr>
                <w:p>
                  <w:pPr>
                    <w:pStyle w:val="27"/>
                    <w:rPr>
                      <w:rFonts w:hint="default"/>
                      <w:sz w:val="21"/>
                      <w:szCs w:val="21"/>
                      <w:lang w:val="en-US" w:eastAsia="zh-CN"/>
                    </w:rPr>
                  </w:pPr>
                  <w:r>
                    <w:rPr>
                      <w:rFonts w:hint="eastAsia"/>
                      <w:sz w:val="21"/>
                      <w:szCs w:val="21"/>
                      <w:lang w:val="en-US" w:eastAsia="zh-CN"/>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分子式</w:t>
                  </w:r>
                </w:p>
              </w:tc>
              <w:tc>
                <w:tcPr>
                  <w:tcW w:w="1150" w:type="dxa"/>
                  <w:vAlign w:val="center"/>
                </w:tcPr>
                <w:p>
                  <w:pPr>
                    <w:pStyle w:val="27"/>
                    <w:rPr>
                      <w:rFonts w:hint="default"/>
                      <w:sz w:val="21"/>
                      <w:szCs w:val="21"/>
                      <w:lang w:val="en-US" w:eastAsia="zh-CN"/>
                    </w:rPr>
                  </w:pPr>
                  <w:r>
                    <w:rPr>
                      <w:rFonts w:hint="eastAsia"/>
                      <w:sz w:val="21"/>
                      <w:szCs w:val="21"/>
                      <w:lang w:val="en-US" w:eastAsia="zh-CN"/>
                    </w:rPr>
                    <w:t>O</w:t>
                  </w:r>
                  <w:r>
                    <w:rPr>
                      <w:rFonts w:hint="eastAsia"/>
                      <w:sz w:val="21"/>
                      <w:szCs w:val="21"/>
                      <w:vertAlign w:val="subscript"/>
                      <w:lang w:val="en-US" w:eastAsia="zh-CN"/>
                    </w:rPr>
                    <w:t>2</w:t>
                  </w:r>
                </w:p>
              </w:tc>
              <w:tc>
                <w:tcPr>
                  <w:tcW w:w="815" w:type="dxa"/>
                  <w:vAlign w:val="center"/>
                </w:tcPr>
                <w:p>
                  <w:pPr>
                    <w:pStyle w:val="27"/>
                    <w:rPr>
                      <w:rFonts w:hint="default"/>
                      <w:sz w:val="21"/>
                      <w:szCs w:val="21"/>
                    </w:rPr>
                  </w:pPr>
                  <w:r>
                    <w:rPr>
                      <w:rFonts w:hint="default"/>
                      <w:sz w:val="21"/>
                      <w:szCs w:val="21"/>
                    </w:rPr>
                    <w:t>分子量</w:t>
                  </w:r>
                </w:p>
              </w:tc>
              <w:tc>
                <w:tcPr>
                  <w:tcW w:w="689" w:type="dxa"/>
                  <w:vAlign w:val="center"/>
                </w:tcPr>
                <w:p>
                  <w:pPr>
                    <w:pStyle w:val="27"/>
                    <w:rPr>
                      <w:rFonts w:hint="default"/>
                      <w:sz w:val="21"/>
                      <w:szCs w:val="21"/>
                      <w:lang w:val="en-US" w:eastAsia="zh-CN"/>
                    </w:rPr>
                  </w:pPr>
                  <w:r>
                    <w:rPr>
                      <w:rFonts w:hint="eastAsia"/>
                      <w:sz w:val="21"/>
                      <w:szCs w:val="21"/>
                      <w:lang w:val="en-US" w:eastAsia="zh-CN"/>
                    </w:rPr>
                    <w:t>32.00</w:t>
                  </w:r>
                </w:p>
              </w:tc>
              <w:tc>
                <w:tcPr>
                  <w:tcW w:w="1559" w:type="dxa"/>
                  <w:vAlign w:val="center"/>
                </w:tcPr>
                <w:p>
                  <w:pPr>
                    <w:pStyle w:val="27"/>
                    <w:rPr>
                      <w:rFonts w:hint="default"/>
                      <w:sz w:val="21"/>
                      <w:szCs w:val="21"/>
                    </w:rPr>
                  </w:pPr>
                  <w:r>
                    <w:rPr>
                      <w:rFonts w:hint="default"/>
                      <w:sz w:val="21"/>
                      <w:szCs w:val="21"/>
                    </w:rPr>
                    <w:t>CAS号</w:t>
                  </w:r>
                </w:p>
              </w:tc>
              <w:tc>
                <w:tcPr>
                  <w:tcW w:w="2489" w:type="dxa"/>
                  <w:gridSpan w:val="2"/>
                  <w:vAlign w:val="center"/>
                </w:tcPr>
                <w:p>
                  <w:pPr>
                    <w:pStyle w:val="27"/>
                    <w:rPr>
                      <w:rFonts w:hint="default"/>
                      <w:sz w:val="21"/>
                      <w:szCs w:val="21"/>
                      <w:lang w:val="en-US" w:eastAsia="zh-CN"/>
                    </w:rPr>
                  </w:pPr>
                  <w:r>
                    <w:rPr>
                      <w:rFonts w:hint="eastAsia"/>
                      <w:sz w:val="21"/>
                      <w:szCs w:val="21"/>
                      <w:lang w:val="en-US" w:eastAsia="zh-CN"/>
                    </w:rPr>
                    <w:t>7782-44-7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restart"/>
                  <w:vAlign w:val="center"/>
                </w:tcPr>
                <w:p>
                  <w:pPr>
                    <w:pStyle w:val="27"/>
                    <w:rPr>
                      <w:rFonts w:hint="default"/>
                      <w:sz w:val="21"/>
                      <w:szCs w:val="21"/>
                    </w:rPr>
                  </w:pPr>
                  <w:r>
                    <w:rPr>
                      <w:rFonts w:hint="default"/>
                      <w:sz w:val="21"/>
                      <w:szCs w:val="21"/>
                    </w:rPr>
                    <w:t>理化性质</w:t>
                  </w:r>
                </w:p>
              </w:tc>
              <w:tc>
                <w:tcPr>
                  <w:tcW w:w="1161" w:type="dxa"/>
                  <w:vAlign w:val="center"/>
                </w:tcPr>
                <w:p>
                  <w:pPr>
                    <w:pStyle w:val="27"/>
                    <w:rPr>
                      <w:rFonts w:hint="default"/>
                      <w:sz w:val="21"/>
                      <w:szCs w:val="21"/>
                    </w:rPr>
                  </w:pPr>
                  <w:r>
                    <w:rPr>
                      <w:rFonts w:hint="default"/>
                      <w:sz w:val="21"/>
                      <w:szCs w:val="21"/>
                    </w:rPr>
                    <w:t>外观与性状</w:t>
                  </w:r>
                </w:p>
              </w:tc>
              <w:tc>
                <w:tcPr>
                  <w:tcW w:w="6702" w:type="dxa"/>
                  <w:gridSpan w:val="6"/>
                  <w:vAlign w:val="center"/>
                </w:tcPr>
                <w:p>
                  <w:pPr>
                    <w:pStyle w:val="27"/>
                    <w:rPr>
                      <w:rFonts w:hint="eastAsia"/>
                      <w:sz w:val="21"/>
                      <w:szCs w:val="21"/>
                      <w:lang w:eastAsia="zh-CN"/>
                    </w:rPr>
                  </w:pPr>
                  <w:r>
                    <w:rPr>
                      <w:rFonts w:hint="eastAsia"/>
                      <w:sz w:val="21"/>
                      <w:szCs w:val="21"/>
                      <w:lang w:eastAsia="zh-CN"/>
                    </w:rPr>
                    <w:t>常温下为无色、无臭气体，液化后成蓝色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熔点℃</w:t>
                  </w:r>
                </w:p>
              </w:tc>
              <w:tc>
                <w:tcPr>
                  <w:tcW w:w="1150" w:type="dxa"/>
                  <w:vAlign w:val="center"/>
                </w:tcPr>
                <w:p>
                  <w:pPr>
                    <w:pStyle w:val="27"/>
                    <w:rPr>
                      <w:rFonts w:hint="default"/>
                      <w:sz w:val="21"/>
                      <w:szCs w:val="21"/>
                      <w:lang w:val="en-US" w:eastAsia="zh-CN"/>
                    </w:rPr>
                  </w:pPr>
                  <w:r>
                    <w:rPr>
                      <w:rFonts w:hint="eastAsia"/>
                      <w:sz w:val="21"/>
                      <w:szCs w:val="21"/>
                      <w:lang w:val="en-US" w:eastAsia="zh-CN"/>
                    </w:rPr>
                    <w:t>-218.8</w:t>
                  </w:r>
                </w:p>
              </w:tc>
              <w:tc>
                <w:tcPr>
                  <w:tcW w:w="1504" w:type="dxa"/>
                  <w:gridSpan w:val="2"/>
                  <w:vAlign w:val="center"/>
                </w:tcPr>
                <w:p>
                  <w:pPr>
                    <w:pStyle w:val="27"/>
                    <w:rPr>
                      <w:rFonts w:hint="default"/>
                      <w:sz w:val="21"/>
                      <w:szCs w:val="21"/>
                    </w:rPr>
                  </w:pPr>
                  <w:r>
                    <w:rPr>
                      <w:rFonts w:hint="default"/>
                      <w:sz w:val="21"/>
                      <w:szCs w:val="21"/>
                    </w:rPr>
                    <w:t>相对密度(水=1)</w:t>
                  </w:r>
                </w:p>
              </w:tc>
              <w:tc>
                <w:tcPr>
                  <w:tcW w:w="1559" w:type="dxa"/>
                  <w:vAlign w:val="center"/>
                </w:tcPr>
                <w:p>
                  <w:pPr>
                    <w:pStyle w:val="27"/>
                    <w:rPr>
                      <w:rFonts w:hint="default"/>
                      <w:sz w:val="21"/>
                      <w:szCs w:val="21"/>
                      <w:lang w:val="en-US" w:eastAsia="zh-CN"/>
                    </w:rPr>
                  </w:pPr>
                  <w:r>
                    <w:rPr>
                      <w:rFonts w:hint="eastAsia"/>
                      <w:sz w:val="21"/>
                      <w:szCs w:val="21"/>
                      <w:lang w:val="en-US" w:eastAsia="zh-CN"/>
                    </w:rPr>
                    <w:t>1.14</w:t>
                  </w:r>
                </w:p>
              </w:tc>
              <w:tc>
                <w:tcPr>
                  <w:tcW w:w="1516" w:type="dxa"/>
                  <w:vAlign w:val="center"/>
                </w:tcPr>
                <w:p>
                  <w:pPr>
                    <w:pStyle w:val="27"/>
                    <w:rPr>
                      <w:rFonts w:hint="default"/>
                      <w:sz w:val="21"/>
                      <w:szCs w:val="21"/>
                    </w:rPr>
                  </w:pPr>
                  <w:r>
                    <w:rPr>
                      <w:rFonts w:hint="default"/>
                      <w:sz w:val="21"/>
                      <w:szCs w:val="21"/>
                    </w:rPr>
                    <w:t>相对密度(空气=1)</w:t>
                  </w:r>
                </w:p>
              </w:tc>
              <w:tc>
                <w:tcPr>
                  <w:tcW w:w="973" w:type="dxa"/>
                  <w:vAlign w:val="center"/>
                </w:tcPr>
                <w:p>
                  <w:pPr>
                    <w:pStyle w:val="27"/>
                    <w:rPr>
                      <w:rFonts w:hint="default"/>
                      <w:sz w:val="21"/>
                      <w:szCs w:val="21"/>
                      <w:lang w:val="en-US" w:eastAsia="zh-CN"/>
                    </w:rPr>
                  </w:pPr>
                  <w:r>
                    <w:rPr>
                      <w:rFonts w:hint="eastAsia"/>
                      <w:sz w:val="21"/>
                      <w:szCs w:val="21"/>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沸点℃</w:t>
                  </w:r>
                </w:p>
              </w:tc>
              <w:tc>
                <w:tcPr>
                  <w:tcW w:w="2654" w:type="dxa"/>
                  <w:gridSpan w:val="3"/>
                  <w:vAlign w:val="center"/>
                </w:tcPr>
                <w:p>
                  <w:pPr>
                    <w:pStyle w:val="27"/>
                    <w:rPr>
                      <w:rFonts w:hint="default"/>
                      <w:sz w:val="21"/>
                      <w:szCs w:val="21"/>
                      <w:lang w:val="en-US" w:eastAsia="zh-CN"/>
                    </w:rPr>
                  </w:pPr>
                  <w:r>
                    <w:rPr>
                      <w:rFonts w:hint="eastAsia"/>
                      <w:sz w:val="21"/>
                      <w:szCs w:val="21"/>
                      <w:lang w:val="en-US" w:eastAsia="zh-CN"/>
                    </w:rPr>
                    <w:t>-183.1</w:t>
                  </w:r>
                </w:p>
              </w:tc>
              <w:tc>
                <w:tcPr>
                  <w:tcW w:w="1559" w:type="dxa"/>
                  <w:vAlign w:val="center"/>
                </w:tcPr>
                <w:p>
                  <w:pPr>
                    <w:pStyle w:val="27"/>
                    <w:rPr>
                      <w:rFonts w:hint="default"/>
                      <w:sz w:val="21"/>
                      <w:szCs w:val="21"/>
                    </w:rPr>
                  </w:pPr>
                  <w:r>
                    <w:rPr>
                      <w:rFonts w:hint="default"/>
                      <w:sz w:val="21"/>
                      <w:szCs w:val="21"/>
                    </w:rPr>
                    <w:t>饱和蒸汽压（kPa）</w:t>
                  </w:r>
                </w:p>
              </w:tc>
              <w:tc>
                <w:tcPr>
                  <w:tcW w:w="2489" w:type="dxa"/>
                  <w:gridSpan w:val="2"/>
                  <w:vAlign w:val="center"/>
                </w:tcPr>
                <w:p>
                  <w:pPr>
                    <w:pStyle w:val="27"/>
                    <w:rPr>
                      <w:rFonts w:hint="default"/>
                      <w:sz w:val="21"/>
                      <w:szCs w:val="21"/>
                    </w:rPr>
                  </w:pPr>
                  <w:r>
                    <w:rPr>
                      <w:rFonts w:hint="eastAsia"/>
                      <w:sz w:val="21"/>
                      <w:szCs w:val="21"/>
                      <w:lang w:val="en-US" w:eastAsia="zh-CN"/>
                    </w:rPr>
                    <w:t>506.62</w:t>
                  </w:r>
                  <w:r>
                    <w:rPr>
                      <w:rFonts w:hint="default"/>
                      <w:sz w:val="21"/>
                      <w:szCs w:val="21"/>
                    </w:rPr>
                    <w:t>/</w:t>
                  </w:r>
                  <w:r>
                    <w:rPr>
                      <w:rFonts w:hint="eastAsia"/>
                      <w:sz w:val="21"/>
                      <w:szCs w:val="21"/>
                      <w:lang w:val="en-US" w:eastAsia="zh-CN"/>
                    </w:rPr>
                    <w:t>-164</w:t>
                  </w: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溶解性</w:t>
                  </w:r>
                </w:p>
              </w:tc>
              <w:tc>
                <w:tcPr>
                  <w:tcW w:w="6702" w:type="dxa"/>
                  <w:gridSpan w:val="6"/>
                  <w:vAlign w:val="center"/>
                </w:tcPr>
                <w:p>
                  <w:pPr>
                    <w:pStyle w:val="27"/>
                    <w:rPr>
                      <w:rFonts w:hint="eastAsia"/>
                      <w:sz w:val="21"/>
                      <w:szCs w:val="21"/>
                      <w:lang w:eastAsia="zh-CN"/>
                    </w:rPr>
                  </w:pPr>
                  <w:r>
                    <w:rPr>
                      <w:rFonts w:hint="eastAsia"/>
                      <w:sz w:val="21"/>
                      <w:szCs w:val="21"/>
                      <w:lang w:eastAsia="zh-CN"/>
                    </w:rPr>
                    <w:t>溶于水、乙醇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restart"/>
                  <w:vAlign w:val="center"/>
                </w:tcPr>
                <w:p>
                  <w:pPr>
                    <w:pStyle w:val="27"/>
                    <w:rPr>
                      <w:rFonts w:hint="default"/>
                      <w:sz w:val="21"/>
                      <w:szCs w:val="21"/>
                    </w:rPr>
                  </w:pPr>
                  <w:r>
                    <w:rPr>
                      <w:rFonts w:hint="default"/>
                      <w:sz w:val="21"/>
                      <w:szCs w:val="21"/>
                    </w:rPr>
                    <w:t>毒性及健康危害</w:t>
                  </w:r>
                </w:p>
              </w:tc>
              <w:tc>
                <w:tcPr>
                  <w:tcW w:w="1161" w:type="dxa"/>
                  <w:vAlign w:val="center"/>
                </w:tcPr>
                <w:p>
                  <w:pPr>
                    <w:pStyle w:val="27"/>
                    <w:rPr>
                      <w:rFonts w:hint="default"/>
                      <w:sz w:val="21"/>
                      <w:szCs w:val="21"/>
                    </w:rPr>
                  </w:pPr>
                  <w:r>
                    <w:rPr>
                      <w:rFonts w:hint="default"/>
                      <w:sz w:val="21"/>
                      <w:szCs w:val="21"/>
                    </w:rPr>
                    <w:t>侵入途径</w:t>
                  </w:r>
                </w:p>
              </w:tc>
              <w:tc>
                <w:tcPr>
                  <w:tcW w:w="6702" w:type="dxa"/>
                  <w:gridSpan w:val="6"/>
                  <w:vAlign w:val="center"/>
                </w:tcPr>
                <w:p>
                  <w:pPr>
                    <w:pStyle w:val="27"/>
                    <w:rPr>
                      <w:rFonts w:hint="default"/>
                      <w:sz w:val="21"/>
                      <w:szCs w:val="21"/>
                    </w:rPr>
                  </w:pPr>
                  <w:r>
                    <w:rPr>
                      <w:rFonts w:hint="default"/>
                      <w:sz w:val="21"/>
                      <w:szCs w:val="21"/>
                    </w:rPr>
                    <w:t>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毒性</w:t>
                  </w:r>
                </w:p>
              </w:tc>
              <w:tc>
                <w:tcPr>
                  <w:tcW w:w="6702" w:type="dxa"/>
                  <w:gridSpan w:val="6"/>
                  <w:vAlign w:val="center"/>
                </w:tcPr>
                <w:p>
                  <w:pPr>
                    <w:pStyle w:val="27"/>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健康危害</w:t>
                  </w:r>
                </w:p>
              </w:tc>
              <w:tc>
                <w:tcPr>
                  <w:tcW w:w="6702" w:type="dxa"/>
                  <w:gridSpan w:val="6"/>
                  <w:vAlign w:val="center"/>
                </w:tcPr>
                <w:p>
                  <w:pPr>
                    <w:pStyle w:val="27"/>
                    <w:rPr>
                      <w:rFonts w:hint="default"/>
                      <w:sz w:val="21"/>
                      <w:szCs w:val="21"/>
                    </w:rPr>
                  </w:pPr>
                  <w:r>
                    <w:rPr>
                      <w:rFonts w:hint="default"/>
                      <w:sz w:val="21"/>
                      <w:szCs w:val="21"/>
                    </w:rPr>
                    <w:t>常压下，当氧的浓度超过 40%时，有可能发生氧中毒。吸入40%-60%的氧时，出现胸骨后不适感、轻咳，进而胸闷、胸骨后烧灼感和呼吸困难，咳嗽加剧</w:t>
                  </w:r>
                  <w:r>
                    <w:rPr>
                      <w:rFonts w:hint="eastAsia"/>
                      <w:sz w:val="21"/>
                      <w:szCs w:val="21"/>
                      <w:lang w:eastAsia="zh-CN"/>
                    </w:rPr>
                    <w:t>；</w:t>
                  </w:r>
                  <w:r>
                    <w:rPr>
                      <w:rFonts w:hint="default"/>
                      <w:sz w:val="21"/>
                      <w:szCs w:val="21"/>
                    </w:rPr>
                    <w:t>严重时可发生肺水肿，其至出现呼吸窘迫综合征。吸入氧浓度在80%以上时，出现面部肌肉抽动、面色苍白、眩晕、心</w:t>
                  </w:r>
                  <w:r>
                    <w:rPr>
                      <w:rFonts w:hint="eastAsia"/>
                      <w:sz w:val="21"/>
                      <w:szCs w:val="21"/>
                      <w:lang w:eastAsia="zh-CN"/>
                    </w:rPr>
                    <w:t>活动</w:t>
                  </w:r>
                  <w:r>
                    <w:rPr>
                      <w:rFonts w:hint="default"/>
                      <w:sz w:val="21"/>
                      <w:szCs w:val="21"/>
                    </w:rPr>
                    <w:t>过速、虚脱，继而全身强直性抽搐、昏迷、呼吸衰竭而死亡。长期处于氧分压为60-100kPa（相当于吸入氧浓度40%左右）的条件下可发生眼损害严重者</w:t>
                  </w:r>
                  <w:r>
                    <w:rPr>
                      <w:rFonts w:hint="eastAsia"/>
                      <w:sz w:val="21"/>
                      <w:szCs w:val="21"/>
                      <w:lang w:eastAsia="zh-CN"/>
                    </w:rPr>
                    <w:t>可失</w:t>
                  </w:r>
                  <w:r>
                    <w:rPr>
                      <w:rFonts w:hint="default"/>
                      <w:sz w:val="21"/>
                      <w:szCs w:val="21"/>
                    </w:rPr>
                    <w:t>明。皮肤接触液氧时可引起严重冻伤，导致组织损伤。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急救方法</w:t>
                  </w:r>
                </w:p>
              </w:tc>
              <w:tc>
                <w:tcPr>
                  <w:tcW w:w="6702" w:type="dxa"/>
                  <w:gridSpan w:val="6"/>
                  <w:vAlign w:val="center"/>
                </w:tcPr>
                <w:p>
                  <w:pPr>
                    <w:pStyle w:val="27"/>
                    <w:rPr>
                      <w:rFonts w:hint="default"/>
                      <w:sz w:val="21"/>
                      <w:szCs w:val="21"/>
                    </w:rPr>
                  </w:pPr>
                  <w:r>
                    <w:rPr>
                      <w:rFonts w:hint="default"/>
                      <w:sz w:val="21"/>
                      <w:szCs w:val="21"/>
                    </w:rPr>
                    <w:t>吸入时，迅速脱离现场至空气新鲜处，保持呼吸道通畅，如呼吸停止，立即进行人工呼吸，就医</w:t>
                  </w:r>
                  <w:r>
                    <w:rPr>
                      <w:rFonts w:hint="eastAsia"/>
                      <w:sz w:val="21"/>
                      <w:szCs w:val="21"/>
                      <w:lang w:eastAsia="zh-CN"/>
                    </w:rPr>
                    <w:t>；</w:t>
                  </w:r>
                  <w:r>
                    <w:rPr>
                      <w:rFonts w:hint="default"/>
                      <w:sz w:val="21"/>
                      <w:szCs w:val="21"/>
                    </w:rPr>
                    <w:t>皮肤与液体接触发生冻伤时，用大量水冲洗，不要脱掉衣服，并给予医疗护理</w:t>
                  </w:r>
                  <w:r>
                    <w:rPr>
                      <w:rFonts w:hint="eastAsia"/>
                      <w:sz w:val="21"/>
                      <w:szCs w:val="21"/>
                      <w:lang w:eastAsia="zh-CN"/>
                    </w:rPr>
                    <w:t>；</w:t>
                  </w:r>
                  <w:r>
                    <w:rPr>
                      <w:rFonts w:hint="default"/>
                      <w:sz w:val="21"/>
                      <w:szCs w:val="21"/>
                    </w:rPr>
                    <w:t>眼睛接触液体时，先用大量水冲洗数分钟，然后就医。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restart"/>
                  <w:vAlign w:val="center"/>
                </w:tcPr>
                <w:p>
                  <w:pPr>
                    <w:pStyle w:val="27"/>
                    <w:rPr>
                      <w:rFonts w:hint="default"/>
                      <w:sz w:val="21"/>
                      <w:szCs w:val="21"/>
                    </w:rPr>
                  </w:pPr>
                  <w:r>
                    <w:rPr>
                      <w:rFonts w:hint="default"/>
                      <w:sz w:val="21"/>
                      <w:szCs w:val="21"/>
                    </w:rPr>
                    <w:t>燃烧爆炸危险性</w:t>
                  </w:r>
                </w:p>
              </w:tc>
              <w:tc>
                <w:tcPr>
                  <w:tcW w:w="1161" w:type="dxa"/>
                  <w:vAlign w:val="center"/>
                </w:tcPr>
                <w:p>
                  <w:pPr>
                    <w:pStyle w:val="27"/>
                    <w:rPr>
                      <w:rFonts w:hint="default"/>
                      <w:sz w:val="21"/>
                      <w:szCs w:val="21"/>
                    </w:rPr>
                  </w:pPr>
                  <w:r>
                    <w:rPr>
                      <w:rFonts w:hint="default"/>
                      <w:sz w:val="21"/>
                      <w:szCs w:val="21"/>
                    </w:rPr>
                    <w:t>燃烧性</w:t>
                  </w:r>
                </w:p>
              </w:tc>
              <w:tc>
                <w:tcPr>
                  <w:tcW w:w="2654" w:type="dxa"/>
                  <w:gridSpan w:val="3"/>
                  <w:vAlign w:val="center"/>
                </w:tcPr>
                <w:p>
                  <w:pPr>
                    <w:pStyle w:val="27"/>
                    <w:rPr>
                      <w:rFonts w:hint="eastAsia"/>
                      <w:sz w:val="21"/>
                      <w:szCs w:val="21"/>
                      <w:lang w:eastAsia="zh-CN"/>
                    </w:rPr>
                  </w:pPr>
                  <w:r>
                    <w:rPr>
                      <w:rFonts w:hint="eastAsia"/>
                      <w:sz w:val="21"/>
                      <w:szCs w:val="21"/>
                      <w:lang w:eastAsia="zh-CN"/>
                    </w:rPr>
                    <w:t>助燃</w:t>
                  </w:r>
                </w:p>
              </w:tc>
              <w:tc>
                <w:tcPr>
                  <w:tcW w:w="1559" w:type="dxa"/>
                  <w:vAlign w:val="center"/>
                </w:tcPr>
                <w:p>
                  <w:pPr>
                    <w:pStyle w:val="27"/>
                    <w:rPr>
                      <w:rFonts w:hint="default"/>
                      <w:sz w:val="21"/>
                      <w:szCs w:val="21"/>
                    </w:rPr>
                  </w:pPr>
                  <w:r>
                    <w:rPr>
                      <w:rFonts w:hint="default"/>
                      <w:sz w:val="21"/>
                      <w:szCs w:val="21"/>
                    </w:rPr>
                    <w:t>燃烧分解物</w:t>
                  </w:r>
                </w:p>
              </w:tc>
              <w:tc>
                <w:tcPr>
                  <w:tcW w:w="2489" w:type="dxa"/>
                  <w:gridSpan w:val="2"/>
                  <w:vAlign w:val="center"/>
                </w:tcPr>
                <w:p>
                  <w:pPr>
                    <w:pStyle w:val="27"/>
                    <w:rPr>
                      <w:rFonts w:hint="eastAsia"/>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闪点℃</w:t>
                  </w:r>
                </w:p>
              </w:tc>
              <w:tc>
                <w:tcPr>
                  <w:tcW w:w="2654" w:type="dxa"/>
                  <w:gridSpan w:val="3"/>
                  <w:vAlign w:val="center"/>
                </w:tcPr>
                <w:p>
                  <w:pPr>
                    <w:pStyle w:val="27"/>
                    <w:rPr>
                      <w:rFonts w:hint="eastAsia"/>
                      <w:sz w:val="21"/>
                      <w:szCs w:val="21"/>
                      <w:lang w:eastAsia="zh-CN"/>
                    </w:rPr>
                  </w:pPr>
                  <w:r>
                    <w:rPr>
                      <w:rFonts w:hint="eastAsia"/>
                      <w:sz w:val="21"/>
                      <w:szCs w:val="21"/>
                      <w:lang w:val="en-US" w:eastAsia="zh-CN"/>
                    </w:rPr>
                    <w:t>/</w:t>
                  </w:r>
                </w:p>
              </w:tc>
              <w:tc>
                <w:tcPr>
                  <w:tcW w:w="1559" w:type="dxa"/>
                  <w:vAlign w:val="center"/>
                </w:tcPr>
                <w:p>
                  <w:pPr>
                    <w:pStyle w:val="27"/>
                    <w:rPr>
                      <w:rFonts w:hint="default"/>
                      <w:sz w:val="21"/>
                      <w:szCs w:val="21"/>
                    </w:rPr>
                  </w:pPr>
                  <w:r>
                    <w:rPr>
                      <w:rFonts w:hint="default"/>
                      <w:sz w:val="21"/>
                      <w:szCs w:val="21"/>
                    </w:rPr>
                    <w:t>爆炸上限（v%）</w:t>
                  </w:r>
                </w:p>
              </w:tc>
              <w:tc>
                <w:tcPr>
                  <w:tcW w:w="2489" w:type="dxa"/>
                  <w:gridSpan w:val="2"/>
                  <w:vAlign w:val="center"/>
                </w:tcPr>
                <w:p>
                  <w:pPr>
                    <w:pStyle w:val="27"/>
                    <w:rPr>
                      <w:rFonts w:hint="eastAsia"/>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引燃温度℃</w:t>
                  </w:r>
                </w:p>
              </w:tc>
              <w:tc>
                <w:tcPr>
                  <w:tcW w:w="2654" w:type="dxa"/>
                  <w:gridSpan w:val="3"/>
                  <w:vAlign w:val="center"/>
                </w:tcPr>
                <w:p>
                  <w:pPr>
                    <w:pStyle w:val="27"/>
                    <w:rPr>
                      <w:rFonts w:hint="eastAsia"/>
                      <w:sz w:val="21"/>
                      <w:szCs w:val="21"/>
                      <w:lang w:eastAsia="zh-CN"/>
                    </w:rPr>
                  </w:pPr>
                  <w:r>
                    <w:rPr>
                      <w:rFonts w:hint="eastAsia"/>
                      <w:sz w:val="21"/>
                      <w:szCs w:val="21"/>
                      <w:lang w:val="en-US" w:eastAsia="zh-CN"/>
                    </w:rPr>
                    <w:t>/</w:t>
                  </w:r>
                </w:p>
              </w:tc>
              <w:tc>
                <w:tcPr>
                  <w:tcW w:w="1559" w:type="dxa"/>
                  <w:vAlign w:val="center"/>
                </w:tcPr>
                <w:p>
                  <w:pPr>
                    <w:pStyle w:val="27"/>
                    <w:rPr>
                      <w:rFonts w:hint="default"/>
                      <w:sz w:val="21"/>
                      <w:szCs w:val="21"/>
                    </w:rPr>
                  </w:pPr>
                  <w:r>
                    <w:rPr>
                      <w:rFonts w:hint="default"/>
                      <w:sz w:val="21"/>
                      <w:szCs w:val="21"/>
                    </w:rPr>
                    <w:t>爆炸下限（v%）</w:t>
                  </w:r>
                </w:p>
              </w:tc>
              <w:tc>
                <w:tcPr>
                  <w:tcW w:w="2489" w:type="dxa"/>
                  <w:gridSpan w:val="2"/>
                  <w:vAlign w:val="center"/>
                </w:tcPr>
                <w:p>
                  <w:pPr>
                    <w:pStyle w:val="27"/>
                    <w:rPr>
                      <w:rFonts w:hint="eastAsia"/>
                      <w:sz w:val="21"/>
                      <w:szCs w:val="21"/>
                      <w:lang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危险特性</w:t>
                  </w:r>
                </w:p>
              </w:tc>
              <w:tc>
                <w:tcPr>
                  <w:tcW w:w="6702" w:type="dxa"/>
                  <w:gridSpan w:val="6"/>
                  <w:vAlign w:val="center"/>
                </w:tcPr>
                <w:p>
                  <w:pPr>
                    <w:pStyle w:val="27"/>
                    <w:rPr>
                      <w:rFonts w:hint="default"/>
                      <w:sz w:val="21"/>
                      <w:szCs w:val="21"/>
                    </w:rPr>
                  </w:pPr>
                  <w:r>
                    <w:rPr>
                      <w:rFonts w:hint="default"/>
                      <w:sz w:val="21"/>
                      <w:szCs w:val="21"/>
                    </w:rPr>
                    <w:t>本身不燃烧，但能助燃，是易燃物、可燃物燃烧爆炸的基本元素之一，与易燃物（如氢、乙炔等）形成有爆炸性的混合物</w:t>
                  </w:r>
                  <w:r>
                    <w:rPr>
                      <w:rFonts w:hint="eastAsia"/>
                      <w:sz w:val="21"/>
                      <w:szCs w:val="21"/>
                      <w:lang w:eastAsia="zh-CN"/>
                    </w:rPr>
                    <w:t>；</w:t>
                  </w:r>
                  <w:r>
                    <w:rPr>
                      <w:rFonts w:hint="default"/>
                      <w:sz w:val="21"/>
                      <w:szCs w:val="21"/>
                    </w:rPr>
                    <w:t>化学性质活泼，能与多种元素化合发出光和热，也即燃烧。当氧与油脂接触则发生反应热，此热蓄积到一定程度时就会自然</w:t>
                  </w:r>
                  <w:r>
                    <w:rPr>
                      <w:rFonts w:hint="eastAsia"/>
                      <w:sz w:val="21"/>
                      <w:szCs w:val="21"/>
                      <w:lang w:eastAsia="zh-CN"/>
                    </w:rPr>
                    <w:t>；</w:t>
                  </w:r>
                  <w:r>
                    <w:rPr>
                      <w:rFonts w:hint="default"/>
                      <w:sz w:val="21"/>
                      <w:szCs w:val="21"/>
                    </w:rPr>
                    <w:t>当空气中氧的浓度增加时，火焰的温度和火焰长度增加，可燃物的着火温度下降</w:t>
                  </w:r>
                  <w:r>
                    <w:rPr>
                      <w:rFonts w:hint="eastAsia"/>
                      <w:sz w:val="21"/>
                      <w:szCs w:val="21"/>
                      <w:lang w:eastAsia="zh-CN"/>
                    </w:rPr>
                    <w:t>；</w:t>
                  </w:r>
                  <w:r>
                    <w:rPr>
                      <w:rFonts w:hint="default"/>
                      <w:sz w:val="21"/>
                      <w:szCs w:val="21"/>
                    </w:rPr>
                    <w:t>液氧易被衣物、木材、纸张等吸收，见火即燃</w:t>
                  </w:r>
                  <w:r>
                    <w:rPr>
                      <w:rFonts w:hint="eastAsia"/>
                      <w:sz w:val="21"/>
                      <w:szCs w:val="21"/>
                      <w:lang w:eastAsia="zh-CN"/>
                    </w:rPr>
                    <w:t>；</w:t>
                  </w:r>
                  <w:r>
                    <w:rPr>
                      <w:rFonts w:hint="default"/>
                      <w:sz w:val="21"/>
                      <w:szCs w:val="21"/>
                    </w:rPr>
                    <w:t>液氧和有机物</w:t>
                  </w:r>
                  <w:r>
                    <w:rPr>
                      <w:rFonts w:hint="eastAsia"/>
                      <w:sz w:val="21"/>
                      <w:szCs w:val="21"/>
                      <w:lang w:eastAsia="zh-CN"/>
                    </w:rPr>
                    <w:t>及其他</w:t>
                  </w:r>
                  <w:r>
                    <w:rPr>
                      <w:rFonts w:hint="default"/>
                      <w:sz w:val="21"/>
                      <w:szCs w:val="21"/>
                    </w:rPr>
                    <w:t>易燃物质共存时，特别是在高压下，也具有爆炸的危险性。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储运条件与泄漏处理</w:t>
                  </w:r>
                </w:p>
              </w:tc>
              <w:tc>
                <w:tcPr>
                  <w:tcW w:w="6702" w:type="dxa"/>
                  <w:gridSpan w:val="6"/>
                  <w:vAlign w:val="center"/>
                </w:tcPr>
                <w:p>
                  <w:pPr>
                    <w:pStyle w:val="27"/>
                    <w:rPr>
                      <w:rFonts w:hint="default"/>
                      <w:sz w:val="21"/>
                      <w:szCs w:val="21"/>
                    </w:rPr>
                  </w:pPr>
                  <w:r>
                    <w:rPr>
                      <w:rFonts w:hint="default"/>
                      <w:sz w:val="21"/>
                      <w:szCs w:val="21"/>
                    </w:rPr>
                    <w:t>储运条件∶储存于阴凉、通风的仓间内，仓内温度不宜超过30℃。防止阳光直射。应与易燃气体、金属粉末分开存放。验收时应注意品名，注意验瓶日期，先进仓先发用。搬运时应轻装轻卸，防止包装和容器损坏。泄漏处理∶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7" w:type="dxa"/>
                  <w:vMerge w:val="continue"/>
                  <w:vAlign w:val="center"/>
                </w:tcPr>
                <w:p>
                  <w:pPr>
                    <w:pStyle w:val="27"/>
                    <w:rPr>
                      <w:rFonts w:hint="default"/>
                      <w:sz w:val="21"/>
                      <w:szCs w:val="21"/>
                    </w:rPr>
                  </w:pPr>
                </w:p>
              </w:tc>
              <w:tc>
                <w:tcPr>
                  <w:tcW w:w="1161" w:type="dxa"/>
                  <w:vAlign w:val="center"/>
                </w:tcPr>
                <w:p>
                  <w:pPr>
                    <w:pStyle w:val="27"/>
                    <w:rPr>
                      <w:rFonts w:hint="default"/>
                      <w:sz w:val="21"/>
                      <w:szCs w:val="21"/>
                    </w:rPr>
                  </w:pPr>
                  <w:r>
                    <w:rPr>
                      <w:rFonts w:hint="default"/>
                      <w:sz w:val="21"/>
                      <w:szCs w:val="21"/>
                    </w:rPr>
                    <w:t>灭火方法</w:t>
                  </w:r>
                </w:p>
              </w:tc>
              <w:tc>
                <w:tcPr>
                  <w:tcW w:w="6702" w:type="dxa"/>
                  <w:gridSpan w:val="6"/>
                  <w:vAlign w:val="center"/>
                </w:tcPr>
                <w:p>
                  <w:pPr>
                    <w:pStyle w:val="27"/>
                    <w:rPr>
                      <w:rFonts w:hint="default"/>
                      <w:sz w:val="21"/>
                      <w:szCs w:val="21"/>
                    </w:rPr>
                  </w:pPr>
                  <w:r>
                    <w:rPr>
                      <w:rFonts w:hint="default"/>
                      <w:sz w:val="21"/>
                      <w:szCs w:val="21"/>
                    </w:rPr>
                    <w:t>用水保持容器冷却，以防受热爆炸，急剧助长火势。迅速切断气源，用水喷淋保护切断气源的人员，然后根据着火原因选择适当灭火剂灭火。</w:t>
                  </w:r>
                </w:p>
              </w:tc>
            </w:tr>
          </w:tbl>
          <w:p>
            <w:pPr>
              <w:adjustRightInd w:val="0"/>
              <w:snapToGrid w:val="0"/>
              <w:spacing w:line="360" w:lineRule="auto"/>
              <w:rPr>
                <w:rFonts w:hint="default"/>
                <w:sz w:val="24"/>
                <w:szCs w:val="24"/>
              </w:rPr>
            </w:pPr>
            <w:r>
              <w:rPr>
                <w:rFonts w:hint="default"/>
                <w:sz w:val="24"/>
                <w:szCs w:val="24"/>
              </w:rPr>
              <w:t>6、工作制度和劳动定员</w:t>
            </w:r>
          </w:p>
          <w:p>
            <w:pPr>
              <w:adjustRightInd w:val="0"/>
              <w:snapToGrid w:val="0"/>
              <w:spacing w:line="360" w:lineRule="auto"/>
              <w:ind w:firstLine="480" w:firstLineChars="200"/>
              <w:rPr>
                <w:rFonts w:hint="default"/>
                <w:sz w:val="24"/>
                <w:szCs w:val="24"/>
              </w:rPr>
            </w:pPr>
            <w:r>
              <w:rPr>
                <w:rFonts w:hint="default"/>
                <w:sz w:val="24"/>
                <w:szCs w:val="24"/>
                <w:lang w:eastAsia="zh-CN"/>
              </w:rPr>
              <w:t>技改项目削减劳动定员</w:t>
            </w:r>
            <w:r>
              <w:rPr>
                <w:rFonts w:hint="default"/>
                <w:sz w:val="24"/>
                <w:szCs w:val="24"/>
                <w:lang w:val="en-US" w:eastAsia="zh-CN"/>
              </w:rPr>
              <w:t>10人</w:t>
            </w:r>
            <w:r>
              <w:rPr>
                <w:rFonts w:hint="default"/>
                <w:sz w:val="24"/>
                <w:szCs w:val="24"/>
                <w:lang w:eastAsia="zh-CN"/>
              </w:rPr>
              <w:t>，</w:t>
            </w:r>
            <w:r>
              <w:rPr>
                <w:rFonts w:hint="eastAsia"/>
                <w:sz w:val="24"/>
                <w:szCs w:val="24"/>
                <w:lang w:eastAsia="zh-CN"/>
              </w:rPr>
              <w:t>生产人员全部由现有项目调剂</w:t>
            </w:r>
            <w:r>
              <w:rPr>
                <w:rFonts w:hint="default"/>
                <w:sz w:val="24"/>
                <w:szCs w:val="24"/>
                <w:lang w:eastAsia="zh-CN"/>
              </w:rPr>
              <w:t>，技改完成后劳动定员</w:t>
            </w:r>
            <w:r>
              <w:rPr>
                <w:rFonts w:hint="default"/>
                <w:sz w:val="24"/>
                <w:szCs w:val="24"/>
                <w:lang w:val="en-US" w:eastAsia="zh-CN"/>
              </w:rPr>
              <w:t>20人</w:t>
            </w:r>
            <w:r>
              <w:rPr>
                <w:rFonts w:hint="default"/>
                <w:sz w:val="24"/>
                <w:szCs w:val="24"/>
                <w:lang w:eastAsia="zh-CN"/>
              </w:rPr>
              <w:t>。</w:t>
            </w:r>
            <w:r>
              <w:rPr>
                <w:rFonts w:hint="default"/>
                <w:sz w:val="24"/>
                <w:szCs w:val="24"/>
              </w:rPr>
              <w:t>年运营280天，无住宿员工，白班制，每班8小时，年工作时间2240h。</w:t>
            </w:r>
          </w:p>
          <w:p>
            <w:pPr>
              <w:adjustRightInd w:val="0"/>
              <w:snapToGrid w:val="0"/>
              <w:spacing w:line="360" w:lineRule="auto"/>
              <w:rPr>
                <w:rFonts w:hint="default"/>
                <w:sz w:val="24"/>
                <w:szCs w:val="24"/>
              </w:rPr>
            </w:pPr>
            <w:r>
              <w:rPr>
                <w:rFonts w:hint="default"/>
                <w:sz w:val="24"/>
                <w:szCs w:val="24"/>
              </w:rPr>
              <w:t>7、水平衡</w:t>
            </w:r>
          </w:p>
          <w:p>
            <w:pPr>
              <w:adjustRightInd w:val="0"/>
              <w:snapToGrid w:val="0"/>
              <w:spacing w:line="360" w:lineRule="auto"/>
              <w:ind w:firstLine="480" w:firstLineChars="200"/>
              <w:rPr>
                <w:rFonts w:hint="default"/>
                <w:sz w:val="24"/>
                <w:szCs w:val="24"/>
              </w:rPr>
            </w:pPr>
            <w:r>
              <w:rPr>
                <w:rFonts w:hint="default"/>
                <w:sz w:val="24"/>
                <w:szCs w:val="24"/>
              </w:rPr>
              <w:t>（1）给水</w:t>
            </w:r>
          </w:p>
          <w:p>
            <w:pPr>
              <w:adjustRightInd w:val="0"/>
              <w:snapToGrid w:val="0"/>
              <w:spacing w:line="360" w:lineRule="auto"/>
              <w:ind w:firstLine="480" w:firstLineChars="200"/>
              <w:rPr>
                <w:rFonts w:hint="default"/>
                <w:sz w:val="24"/>
                <w:szCs w:val="24"/>
                <w:lang w:eastAsia="zh-CN"/>
              </w:rPr>
            </w:pPr>
            <w:r>
              <w:rPr>
                <w:rFonts w:hint="default"/>
                <w:sz w:val="24"/>
                <w:szCs w:val="24"/>
                <w:lang w:eastAsia="zh-CN"/>
              </w:rPr>
              <w:t>技改项目用水主要为生产用水，生产用水主要为清洗用水补充水。</w:t>
            </w:r>
          </w:p>
          <w:p>
            <w:pPr>
              <w:adjustRightInd w:val="0"/>
              <w:snapToGrid w:val="0"/>
              <w:spacing w:line="360" w:lineRule="auto"/>
              <w:ind w:firstLine="480" w:firstLineChars="200"/>
              <w:rPr>
                <w:rFonts w:hint="default"/>
                <w:sz w:val="24"/>
                <w:szCs w:val="24"/>
                <w:lang w:eastAsia="zh-CN"/>
              </w:rPr>
            </w:pPr>
            <w:r>
              <w:rPr>
                <w:rFonts w:hint="default"/>
                <w:sz w:val="24"/>
                <w:szCs w:val="24"/>
                <w:lang w:eastAsia="zh-CN"/>
              </w:rPr>
              <w:t>技改后全厂用水主要为生活用水和生产用水，生产用水主要为清洗用水补充水</w:t>
            </w:r>
            <w:r>
              <w:rPr>
                <w:rFonts w:hint="default"/>
                <w:sz w:val="24"/>
                <w:szCs w:val="24"/>
              </w:rPr>
              <w:t>。</w:t>
            </w:r>
          </w:p>
          <w:p>
            <w:pPr>
              <w:pStyle w:val="2"/>
              <w:adjustRightInd w:val="0"/>
              <w:snapToGrid w:val="0"/>
              <w:spacing w:after="0" w:line="360" w:lineRule="auto"/>
              <w:ind w:left="0" w:leftChars="0" w:firstLine="480"/>
              <w:rPr>
                <w:rFonts w:hint="default"/>
                <w:sz w:val="24"/>
                <w:szCs w:val="24"/>
              </w:rPr>
            </w:pPr>
            <w:r>
              <w:rPr>
                <w:rFonts w:hint="default"/>
                <w:sz w:val="24"/>
                <w:szCs w:val="24"/>
              </w:rPr>
              <w:t>清洗用水补充水：清洗用水补充水充水量按照蒸发、风吹、排污、附着损失率确定，其中蒸发损失率取1%，风吹损失率取0.1%，排污损失率取0.3%，附着损失率取2%，则补充水量为循环水量的3.4%。生产设备清洗用水量为0.02t/h，年运行2240h，则技改后项目年清洗用水量为44.8t/a，清洗用水补充水量为1.52t/a。产生的废水经沉淀后循环使用，沉淀过程产生一定量的污泥，污泥产生量为0.002t/a。</w:t>
            </w:r>
          </w:p>
          <w:p>
            <w:pPr>
              <w:pStyle w:val="2"/>
              <w:adjustRightInd w:val="0"/>
              <w:snapToGrid w:val="0"/>
              <w:spacing w:after="0" w:line="360" w:lineRule="auto"/>
              <w:ind w:left="0" w:leftChars="0" w:firstLine="480"/>
              <w:rPr>
                <w:rFonts w:hint="default"/>
                <w:sz w:val="24"/>
                <w:szCs w:val="24"/>
                <w:lang w:val="en-US" w:eastAsia="zh-CN"/>
              </w:rPr>
            </w:pPr>
            <w:r>
              <w:rPr>
                <w:rFonts w:hint="default"/>
                <w:sz w:val="24"/>
                <w:szCs w:val="24"/>
                <w:lang w:eastAsia="zh-CN"/>
              </w:rPr>
              <w:t>生活用水：技改项目削减劳动定员</w:t>
            </w:r>
            <w:r>
              <w:rPr>
                <w:rFonts w:hint="default"/>
                <w:sz w:val="24"/>
                <w:szCs w:val="24"/>
                <w:lang w:val="en-US" w:eastAsia="zh-CN"/>
              </w:rPr>
              <w:t>10人，技改完成后全厂劳动定员20人。全年工作280天，员工用水定额按35L/人·d计，削减用水量为98t/a；技改后全厂生活用水量为</w:t>
            </w:r>
            <w:r>
              <w:rPr>
                <w:rFonts w:hint="eastAsia"/>
                <w:sz w:val="24"/>
                <w:szCs w:val="24"/>
                <w:lang w:val="en-US" w:eastAsia="zh-CN"/>
              </w:rPr>
              <w:t>196</w:t>
            </w:r>
            <w:r>
              <w:rPr>
                <w:rFonts w:hint="default"/>
                <w:sz w:val="24"/>
                <w:szCs w:val="24"/>
                <w:lang w:val="en-US" w:eastAsia="zh-CN"/>
              </w:rPr>
              <w:t>t/a。</w:t>
            </w:r>
          </w:p>
          <w:p>
            <w:pPr>
              <w:pStyle w:val="2"/>
              <w:adjustRightInd w:val="0"/>
              <w:snapToGrid w:val="0"/>
              <w:spacing w:after="0" w:line="360" w:lineRule="auto"/>
              <w:ind w:left="0" w:leftChars="0" w:firstLine="480"/>
              <w:rPr>
                <w:rFonts w:hint="default"/>
                <w:sz w:val="24"/>
                <w:szCs w:val="24"/>
                <w:lang w:val="en-US" w:eastAsia="zh-CN"/>
              </w:rPr>
            </w:pPr>
            <w:r>
              <w:rPr>
                <w:rFonts w:hint="default"/>
                <w:sz w:val="24"/>
                <w:szCs w:val="24"/>
              </w:rPr>
              <w:t>综上，</w:t>
            </w:r>
            <w:r>
              <w:rPr>
                <w:rFonts w:hint="eastAsia"/>
                <w:sz w:val="24"/>
                <w:szCs w:val="24"/>
                <w:lang w:eastAsia="zh-CN"/>
              </w:rPr>
              <w:t>技改</w:t>
            </w:r>
            <w:r>
              <w:rPr>
                <w:rFonts w:hint="default"/>
                <w:sz w:val="24"/>
                <w:szCs w:val="24"/>
              </w:rPr>
              <w:t>项目年用水量为</w:t>
            </w:r>
            <w:r>
              <w:rPr>
                <w:rFonts w:hint="default"/>
                <w:sz w:val="24"/>
                <w:szCs w:val="24"/>
                <w:lang w:val="en-US" w:eastAsia="zh-CN"/>
              </w:rPr>
              <w:t>1.52</w:t>
            </w:r>
            <w:r>
              <w:rPr>
                <w:rFonts w:hint="default"/>
                <w:sz w:val="24"/>
                <w:szCs w:val="24"/>
              </w:rPr>
              <w:t>t/a。</w:t>
            </w:r>
            <w:r>
              <w:rPr>
                <w:rFonts w:hint="eastAsia"/>
                <w:sz w:val="24"/>
                <w:szCs w:val="24"/>
                <w:lang w:eastAsia="zh-CN"/>
              </w:rPr>
              <w:t>技改后全厂用水量为</w:t>
            </w:r>
            <w:r>
              <w:rPr>
                <w:rFonts w:hint="eastAsia"/>
                <w:sz w:val="24"/>
                <w:szCs w:val="24"/>
                <w:lang w:val="en-US" w:eastAsia="zh-CN"/>
              </w:rPr>
              <w:t>197.52t/a。</w:t>
            </w:r>
          </w:p>
          <w:p>
            <w:pPr>
              <w:adjustRightInd w:val="0"/>
              <w:snapToGrid w:val="0"/>
              <w:spacing w:line="360" w:lineRule="auto"/>
              <w:ind w:firstLine="480" w:firstLineChars="200"/>
              <w:rPr>
                <w:rFonts w:hint="default"/>
                <w:sz w:val="24"/>
                <w:szCs w:val="24"/>
              </w:rPr>
            </w:pPr>
            <w:r>
              <w:rPr>
                <w:rFonts w:hint="default"/>
                <w:sz w:val="24"/>
                <w:szCs w:val="24"/>
              </w:rPr>
              <w:t>（2）排水</w:t>
            </w:r>
          </w:p>
          <w:p>
            <w:pPr>
              <w:adjustRightInd w:val="0"/>
              <w:snapToGrid w:val="0"/>
              <w:spacing w:line="360" w:lineRule="auto"/>
              <w:ind w:firstLine="480" w:firstLineChars="200"/>
              <w:rPr>
                <w:rFonts w:hint="default"/>
                <w:sz w:val="24"/>
                <w:szCs w:val="24"/>
                <w:lang w:eastAsia="zh-CN"/>
              </w:rPr>
            </w:pPr>
            <w:r>
              <w:rPr>
                <w:rFonts w:hint="default"/>
                <w:sz w:val="24"/>
                <w:szCs w:val="24"/>
              </w:rPr>
              <w:t>项目清洗用水循环使用</w:t>
            </w:r>
            <w:r>
              <w:rPr>
                <w:rFonts w:hint="default"/>
                <w:sz w:val="24"/>
                <w:szCs w:val="24"/>
                <w:lang w:eastAsia="zh-CN"/>
              </w:rPr>
              <w:t>并定期补充</w:t>
            </w:r>
            <w:r>
              <w:rPr>
                <w:rFonts w:hint="default"/>
                <w:sz w:val="24"/>
                <w:szCs w:val="24"/>
              </w:rPr>
              <w:t>，不外排</w:t>
            </w:r>
            <w:r>
              <w:rPr>
                <w:rFonts w:hint="default"/>
                <w:sz w:val="24"/>
                <w:szCs w:val="24"/>
                <w:lang w:eastAsia="zh-CN"/>
              </w:rPr>
              <w:t>。</w:t>
            </w:r>
          </w:p>
          <w:p>
            <w:pPr>
              <w:adjustRightInd w:val="0"/>
              <w:snapToGrid w:val="0"/>
              <w:spacing w:line="360" w:lineRule="auto"/>
              <w:ind w:firstLine="480" w:firstLineChars="200"/>
              <w:rPr>
                <w:rFonts w:hint="default"/>
                <w:sz w:val="24"/>
                <w:szCs w:val="24"/>
              </w:rPr>
            </w:pPr>
            <w:r>
              <w:rPr>
                <w:rFonts w:hint="default"/>
                <w:sz w:val="24"/>
                <w:szCs w:val="24"/>
                <w:lang w:eastAsia="zh-CN"/>
              </w:rPr>
              <w:t>技改完成后全厂废水主要为生活污水，生活污水产生量按生活用水量的</w:t>
            </w:r>
            <w:r>
              <w:rPr>
                <w:rFonts w:hint="default"/>
                <w:sz w:val="24"/>
                <w:szCs w:val="24"/>
                <w:lang w:val="en-US" w:eastAsia="zh-CN"/>
              </w:rPr>
              <w:t>80%计，产生量为</w:t>
            </w:r>
            <w:r>
              <w:rPr>
                <w:rFonts w:hint="eastAsia"/>
                <w:sz w:val="24"/>
                <w:szCs w:val="24"/>
                <w:lang w:val="en-US" w:eastAsia="zh-CN"/>
              </w:rPr>
              <w:t>156.8</w:t>
            </w:r>
            <w:r>
              <w:rPr>
                <w:rFonts w:hint="default"/>
                <w:sz w:val="24"/>
                <w:szCs w:val="24"/>
                <w:lang w:val="en-US" w:eastAsia="zh-CN"/>
              </w:rPr>
              <w:t>t/a，生活污水经旱厕暂存用做周边农田农肥</w:t>
            </w:r>
            <w:r>
              <w:rPr>
                <w:rFonts w:hint="default"/>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sz w:val="24"/>
                <w:szCs w:val="24"/>
                <w:lang w:eastAsia="zh-CN"/>
              </w:rPr>
            </w:pPr>
            <w:r>
              <w:rPr>
                <w:rFonts w:hint="default"/>
                <w:sz w:val="24"/>
                <w:szCs w:val="24"/>
              </w:rPr>
              <w:t>项目水平衡图详见下图</w:t>
            </w:r>
            <w:r>
              <w:rPr>
                <w:rFonts w:hint="default"/>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sz w:val="24"/>
                <w:szCs w:val="24"/>
              </w:rPr>
            </w:pPr>
            <w:r>
              <w:rPr>
                <w:rFonts w:hint="default"/>
                <w:sz w:val="24"/>
                <w:szCs w:val="24"/>
              </w:rPr>
              <w:drawing>
                <wp:inline distT="0" distB="0" distL="114300" distR="114300">
                  <wp:extent cx="5114925" cy="2009775"/>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114925" cy="2009775"/>
                          </a:xfrm>
                          <a:prstGeom prst="rect">
                            <a:avLst/>
                          </a:prstGeom>
                          <a:noFill/>
                          <a:ln>
                            <a:noFill/>
                          </a:ln>
                        </pic:spPr>
                      </pic:pic>
                    </a:graphicData>
                  </a:graphic>
                </wp:inline>
              </w:drawing>
            </w:r>
          </w:p>
          <w:p>
            <w:pPr>
              <w:pStyle w:val="24"/>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sz w:val="24"/>
                <w:szCs w:val="24"/>
                <w:lang w:eastAsia="zh-CN"/>
              </w:rPr>
            </w:pPr>
            <w:r>
              <w:rPr>
                <w:rFonts w:hint="default"/>
                <w:sz w:val="24"/>
                <w:szCs w:val="24"/>
                <w:lang w:eastAsia="zh-CN"/>
              </w:rPr>
              <w:t>图</w:t>
            </w:r>
            <w:r>
              <w:rPr>
                <w:rFonts w:hint="default"/>
                <w:sz w:val="24"/>
                <w:szCs w:val="24"/>
                <w:lang w:val="en-US" w:eastAsia="zh-CN"/>
              </w:rPr>
              <w:t xml:space="preserve">2-1 </w:t>
            </w:r>
            <w:r>
              <w:rPr>
                <w:rFonts w:hint="default"/>
                <w:sz w:val="24"/>
                <w:szCs w:val="24"/>
                <w:lang w:eastAsia="zh-CN"/>
              </w:rPr>
              <w:t>技改项目用水量平衡图</w:t>
            </w:r>
          </w:p>
          <w:p>
            <w:pPr>
              <w:pStyle w:val="2"/>
              <w:ind w:left="0" w:leftChars="0" w:firstLine="0" w:firstLineChars="0"/>
              <w:rPr>
                <w:rFonts w:hint="default"/>
                <w:sz w:val="24"/>
                <w:szCs w:val="24"/>
              </w:rPr>
            </w:pPr>
            <w:r>
              <w:rPr>
                <w:sz w:val="24"/>
                <w:szCs w:val="24"/>
              </w:rPr>
              <w:drawing>
                <wp:inline distT="0" distB="0" distL="114300" distR="114300">
                  <wp:extent cx="5359400" cy="2513965"/>
                  <wp:effectExtent l="0" t="0" r="1270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359400" cy="2513965"/>
                          </a:xfrm>
                          <a:prstGeom prst="rect">
                            <a:avLst/>
                          </a:prstGeom>
                          <a:noFill/>
                          <a:ln>
                            <a:noFill/>
                          </a:ln>
                        </pic:spPr>
                      </pic:pic>
                    </a:graphicData>
                  </a:graphic>
                </wp:inline>
              </w:drawing>
            </w:r>
          </w:p>
          <w:p>
            <w:pPr>
              <w:adjustRightInd w:val="0"/>
              <w:snapToGrid w:val="0"/>
              <w:spacing w:line="360" w:lineRule="auto"/>
              <w:jc w:val="center"/>
              <w:rPr>
                <w:rFonts w:hint="default"/>
                <w:sz w:val="24"/>
                <w:szCs w:val="24"/>
              </w:rPr>
            </w:pPr>
            <w:r>
              <w:rPr>
                <w:rFonts w:hint="default"/>
                <w:sz w:val="24"/>
                <w:szCs w:val="24"/>
              </w:rPr>
              <w:t>图2-</w:t>
            </w:r>
            <w:r>
              <w:rPr>
                <w:rFonts w:hint="default"/>
                <w:sz w:val="24"/>
                <w:szCs w:val="24"/>
                <w:lang w:val="en-US" w:eastAsia="zh-CN"/>
              </w:rPr>
              <w:t>2</w:t>
            </w:r>
            <w:r>
              <w:rPr>
                <w:rFonts w:hint="default"/>
                <w:sz w:val="24"/>
                <w:szCs w:val="24"/>
              </w:rPr>
              <w:t xml:space="preserve"> </w:t>
            </w:r>
            <w:r>
              <w:rPr>
                <w:rFonts w:hint="default"/>
                <w:sz w:val="24"/>
                <w:szCs w:val="24"/>
                <w:lang w:eastAsia="zh-CN"/>
              </w:rPr>
              <w:t>技改后全厂</w:t>
            </w:r>
            <w:r>
              <w:rPr>
                <w:rFonts w:hint="default"/>
                <w:sz w:val="24"/>
                <w:szCs w:val="24"/>
              </w:rPr>
              <w:t>用水量平衡图（t/a）</w:t>
            </w:r>
          </w:p>
          <w:p>
            <w:pPr>
              <w:adjustRightInd w:val="0"/>
              <w:snapToGrid w:val="0"/>
              <w:spacing w:line="360" w:lineRule="auto"/>
              <w:rPr>
                <w:rFonts w:hint="default"/>
                <w:b/>
                <w:bCs/>
                <w:sz w:val="24"/>
                <w:szCs w:val="24"/>
              </w:rPr>
            </w:pPr>
            <w:r>
              <w:rPr>
                <w:rFonts w:hint="default"/>
                <w:b/>
                <w:bCs/>
                <w:sz w:val="24"/>
                <w:szCs w:val="24"/>
              </w:rPr>
              <w:t>8、厂区平面布置</w:t>
            </w:r>
          </w:p>
          <w:p>
            <w:pPr>
              <w:adjustRightInd w:val="0"/>
              <w:snapToGrid w:val="0"/>
              <w:spacing w:line="360" w:lineRule="auto"/>
              <w:ind w:firstLine="480" w:firstLineChars="200"/>
              <w:rPr>
                <w:rFonts w:hint="default"/>
                <w:sz w:val="24"/>
                <w:szCs w:val="24"/>
              </w:rPr>
            </w:pPr>
            <w:r>
              <w:rPr>
                <w:rFonts w:hint="eastAsia"/>
                <w:sz w:val="24"/>
                <w:szCs w:val="24"/>
                <w:lang w:eastAsia="zh-CN"/>
              </w:rPr>
              <w:t>公司租用现有厂房建设技改项目</w:t>
            </w:r>
            <w:r>
              <w:rPr>
                <w:rFonts w:hint="default"/>
                <w:sz w:val="24"/>
                <w:szCs w:val="24"/>
                <w:lang w:eastAsia="zh-CN"/>
              </w:rPr>
              <w:t>；因生产工艺发生变化，将现有部分设备拆除并外运，安装部分新增设备，调整设备位置</w:t>
            </w:r>
            <w:r>
              <w:rPr>
                <w:rFonts w:hint="default"/>
                <w:sz w:val="24"/>
                <w:szCs w:val="24"/>
              </w:rPr>
              <w:t>。西车间内西侧为原料储存区，东侧由南向北依次为下料区、瓶底处理区；西车间与北车间通过门口相连，北车间内西侧及北侧为封口区、压颈区，南部中侧为清洁区、检测区，东侧为</w:t>
            </w:r>
            <w:r>
              <w:rPr>
                <w:rFonts w:hint="eastAsia"/>
                <w:sz w:val="24"/>
                <w:szCs w:val="24"/>
                <w:lang w:eastAsia="zh-CN"/>
              </w:rPr>
              <w:t>退火区</w:t>
            </w:r>
            <w:r>
              <w:rPr>
                <w:rFonts w:hint="default"/>
                <w:sz w:val="24"/>
                <w:szCs w:val="24"/>
              </w:rPr>
              <w:t>；仓库位于厂区南部，西侧为封盖区、包装区，东侧为成品储存区；办公室位于厂区东部；危废暂存间位于厕所与西车间夹道西侧，液化石油气及液氧暂存区位于西车间外部东侧隔棚北侧，一般固废暂存区位于西车间外部东侧隔棚南侧，便于物料运输。厂区平面布置功能分区明确，管线布置合理，平面布置符合要求。</w:t>
            </w:r>
          </w:p>
          <w:p>
            <w:pPr>
              <w:adjustRightInd w:val="0"/>
              <w:snapToGrid w:val="0"/>
              <w:spacing w:line="360" w:lineRule="auto"/>
              <w:ind w:firstLine="480" w:firstLineChars="200"/>
              <w:rPr>
                <w:rFonts w:hint="default"/>
                <w:sz w:val="24"/>
                <w:szCs w:val="24"/>
              </w:rPr>
            </w:pPr>
            <w:r>
              <w:rPr>
                <w:rFonts w:hint="default"/>
                <w:sz w:val="24"/>
                <w:szCs w:val="24"/>
              </w:rPr>
              <w:t>厂址所在地地势平坦，交通发达，运输方便，配有较为完善的供电、供水、排水、通信等基础设施。</w:t>
            </w:r>
          </w:p>
          <w:p>
            <w:pPr>
              <w:numPr>
                <w:ilvl w:val="0"/>
                <w:numId w:val="3"/>
              </w:numPr>
              <w:adjustRightInd w:val="0"/>
              <w:snapToGrid w:val="0"/>
              <w:spacing w:line="360" w:lineRule="auto"/>
              <w:rPr>
                <w:rFonts w:hint="eastAsia" w:cs="Times New Roman"/>
                <w:b/>
                <w:bCs/>
                <w:color w:val="000000"/>
                <w:kern w:val="0"/>
                <w:sz w:val="24"/>
                <w:szCs w:val="24"/>
                <w:lang w:eastAsia="zh-CN"/>
              </w:rPr>
            </w:pPr>
            <w:r>
              <w:rPr>
                <w:rFonts w:hint="eastAsia" w:cs="Times New Roman"/>
                <w:b/>
                <w:bCs/>
                <w:color w:val="000000"/>
                <w:kern w:val="0"/>
                <w:sz w:val="24"/>
                <w:szCs w:val="24"/>
                <w:lang w:eastAsia="zh-CN"/>
              </w:rPr>
              <w:t>环保投资与建设内容</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本项目总投资</w:t>
            </w:r>
            <w:r>
              <w:rPr>
                <w:rFonts w:hint="eastAsia" w:cs="Times New Roman"/>
                <w:color w:val="auto"/>
                <w:kern w:val="0"/>
                <w:sz w:val="24"/>
                <w:szCs w:val="24"/>
                <w:lang w:val="en-US" w:eastAsia="zh-CN"/>
              </w:rPr>
              <w:t>65</w:t>
            </w:r>
            <w:r>
              <w:rPr>
                <w:rFonts w:hint="default" w:ascii="Times New Roman" w:hAnsi="Times New Roman" w:eastAsia="宋体" w:cs="Times New Roman"/>
                <w:color w:val="auto"/>
                <w:kern w:val="0"/>
                <w:sz w:val="24"/>
                <w:szCs w:val="24"/>
              </w:rPr>
              <w:t>万，环保投资</w:t>
            </w:r>
            <w:r>
              <w:rPr>
                <w:rFonts w:hint="eastAsia"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万，占工程总投资的</w:t>
            </w:r>
            <w:r>
              <w:rPr>
                <w:rFonts w:hint="eastAsia" w:cs="Times New Roman"/>
                <w:color w:val="auto"/>
                <w:kern w:val="0"/>
                <w:sz w:val="24"/>
                <w:szCs w:val="24"/>
                <w:lang w:val="en-US" w:eastAsia="zh-CN"/>
              </w:rPr>
              <w:t>9.2</w:t>
            </w:r>
            <w:r>
              <w:rPr>
                <w:rFonts w:hint="default" w:ascii="Times New Roman" w:hAnsi="Times New Roman" w:eastAsia="宋体" w:cs="Times New Roman"/>
                <w:color w:val="auto"/>
                <w:kern w:val="0"/>
                <w:sz w:val="24"/>
                <w:szCs w:val="24"/>
              </w:rPr>
              <w:t>%，环保建设内容见下表。</w:t>
            </w:r>
          </w:p>
          <w:p>
            <w:pPr>
              <w:spacing w:line="360" w:lineRule="auto"/>
              <w:ind w:firstLine="470" w:firstLineChars="19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表</w:t>
            </w:r>
            <w:r>
              <w:rPr>
                <w:rFonts w:hint="default"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工程环保设施（措施）及投资估算一览表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3"/>
              <w:gridCol w:w="1161"/>
              <w:gridCol w:w="4037"/>
              <w:gridCol w:w="1386"/>
              <w:gridCol w:w="1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53"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61"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4037"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处理方式</w:t>
                  </w:r>
                </w:p>
              </w:tc>
              <w:tc>
                <w:tcPr>
                  <w:tcW w:w="1386"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投资（万元）</w:t>
                  </w:r>
                </w:p>
              </w:tc>
              <w:tc>
                <w:tcPr>
                  <w:tcW w:w="1151"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三同时进度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53"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61"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4037"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全厂绿化</w:t>
                  </w:r>
                </w:p>
              </w:tc>
              <w:tc>
                <w:tcPr>
                  <w:tcW w:w="1386"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151" w:type="dxa"/>
                  <w:vMerge w:val="restart"/>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与建设项目同时设计、同时施工、同时投产使用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53"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61"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4037" w:type="dxa"/>
                  <w:tcBorders>
                    <w:tl2br w:val="nil"/>
                    <w:tr2bl w:val="nil"/>
                  </w:tcBorders>
                  <w:noWrap w:val="0"/>
                  <w:vAlign w:val="center"/>
                </w:tcPr>
                <w:p>
                  <w:pPr>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设备</w:t>
                  </w:r>
                  <w:r>
                    <w:rPr>
                      <w:rFonts w:hint="default" w:ascii="Times New Roman" w:hAnsi="Times New Roman" w:eastAsia="宋体" w:cs="Times New Roman"/>
                      <w:color w:val="auto"/>
                      <w:sz w:val="21"/>
                      <w:szCs w:val="21"/>
                    </w:rPr>
                    <w:t>减震</w:t>
                  </w:r>
                  <w:r>
                    <w:rPr>
                      <w:rFonts w:hint="eastAsia" w:cs="Times New Roman"/>
                      <w:color w:val="auto"/>
                      <w:sz w:val="21"/>
                      <w:szCs w:val="21"/>
                      <w:lang w:eastAsia="zh-CN"/>
                    </w:rPr>
                    <w:t>、厂房隔声</w:t>
                  </w:r>
                </w:p>
              </w:tc>
              <w:tc>
                <w:tcPr>
                  <w:tcW w:w="1386"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151" w:type="dxa"/>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53"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61"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4037" w:type="dxa"/>
                  <w:tcBorders>
                    <w:tl2br w:val="nil"/>
                    <w:tr2bl w:val="nil"/>
                  </w:tcBorders>
                  <w:noWrap w:val="0"/>
                  <w:vAlign w:val="center"/>
                </w:tcPr>
                <w:p>
                  <w:pPr>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设置</w:t>
                  </w:r>
                  <w:r>
                    <w:rPr>
                      <w:rFonts w:hint="eastAsia" w:ascii="Times New Roman" w:hAnsi="Times New Roman" w:eastAsia="宋体" w:cs="Times New Roman"/>
                      <w:color w:val="auto"/>
                      <w:sz w:val="21"/>
                      <w:szCs w:val="21"/>
                      <w:lang w:eastAsia="zh-CN"/>
                    </w:rPr>
                    <w:t>一般固废暂存间及危废间</w:t>
                  </w:r>
                </w:p>
              </w:tc>
              <w:tc>
                <w:tcPr>
                  <w:tcW w:w="1386"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1151" w:type="dxa"/>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53"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61"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4037" w:type="dxa"/>
                  <w:tcBorders>
                    <w:tl2br w:val="nil"/>
                    <w:tr2bl w:val="nil"/>
                  </w:tcBorders>
                  <w:noWrap w:val="0"/>
                  <w:vAlign w:val="center"/>
                </w:tcPr>
                <w:p>
                  <w:pPr>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利用租赁厂房附带旱厕</w:t>
                  </w:r>
                </w:p>
              </w:tc>
              <w:tc>
                <w:tcPr>
                  <w:tcW w:w="1386"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1151" w:type="dxa"/>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53"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p>
              </w:tc>
              <w:tc>
                <w:tcPr>
                  <w:tcW w:w="1161"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4037"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86" w:type="dxa"/>
                  <w:tcBorders>
                    <w:tl2br w:val="nil"/>
                    <w:tr2bl w:val="nil"/>
                  </w:tcBorders>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1151" w:type="dxa"/>
                  <w:vMerge w:val="continue"/>
                  <w:tcBorders>
                    <w:tl2br w:val="nil"/>
                    <w:tr2bl w:val="nil"/>
                  </w:tcBorders>
                  <w:noWrap w:val="0"/>
                  <w:vAlign w:val="center"/>
                </w:tcPr>
                <w:p>
                  <w:pPr>
                    <w:jc w:val="center"/>
                    <w:textAlignment w:val="baseline"/>
                    <w:rPr>
                      <w:rFonts w:hint="default" w:ascii="Times New Roman" w:hAnsi="Times New Roman" w:eastAsia="宋体" w:cs="Times New Roman"/>
                      <w:color w:val="auto"/>
                      <w:sz w:val="24"/>
                      <w:szCs w:val="24"/>
                    </w:rPr>
                  </w:pPr>
                </w:p>
              </w:tc>
            </w:tr>
          </w:tbl>
          <w:p>
            <w:pPr>
              <w:pStyle w:val="10"/>
              <w:rPr>
                <w:rFonts w:hint="default"/>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vAlign w:val="center"/>
          </w:tcPr>
          <w:p>
            <w:pPr>
              <w:pStyle w:val="17"/>
              <w:adjustRightInd w:val="0"/>
              <w:snapToGrid w:val="0"/>
              <w:spacing w:before="0" w:beforeAutospacing="0" w:after="0" w:afterAutospacing="0"/>
              <w:jc w:val="center"/>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工艺流程和产排污环节</w:t>
            </w:r>
          </w:p>
        </w:tc>
        <w:tc>
          <w:tcPr>
            <w:tcW w:w="8287" w:type="dxa"/>
          </w:tcPr>
          <w:p>
            <w:pPr>
              <w:numPr>
                <w:ilvl w:val="0"/>
                <w:numId w:val="4"/>
              </w:numPr>
              <w:adjustRightInd w:val="0"/>
              <w:snapToGrid w:val="0"/>
              <w:spacing w:line="360" w:lineRule="auto"/>
              <w:rPr>
                <w:rFonts w:hint="default" w:ascii="Times New Roman" w:hAnsi="Times New Roman" w:eastAsia="宋体" w:cs="Times New Roman"/>
                <w:b/>
                <w:bCs/>
                <w:snapToGrid w:val="0"/>
                <w:kern w:val="0"/>
                <w:sz w:val="24"/>
              </w:rPr>
            </w:pPr>
            <w:r>
              <w:rPr>
                <w:rFonts w:hint="default" w:ascii="Times New Roman" w:hAnsi="Times New Roman" w:eastAsia="宋体" w:cs="Times New Roman"/>
                <w:b/>
                <w:bCs/>
                <w:snapToGrid w:val="0"/>
                <w:kern w:val="0"/>
                <w:sz w:val="24"/>
              </w:rPr>
              <w:t>生产工艺流程及产污环节图：</w:t>
            </w:r>
          </w:p>
          <w:p>
            <w:pPr>
              <w:pStyle w:val="2"/>
              <w:ind w:left="0" w:leftChars="0" w:firstLine="0" w:firstLineChars="0"/>
              <w:rPr>
                <w:rFonts w:hint="default" w:ascii="Times New Roman" w:hAnsi="Times New Roman" w:eastAsia="宋体" w:cs="Times New Roman"/>
                <w:kern w:val="0"/>
                <w:szCs w:val="24"/>
              </w:rPr>
            </w:pPr>
            <w:r>
              <w:drawing>
                <wp:inline distT="0" distB="0" distL="114300" distR="114300">
                  <wp:extent cx="5115560" cy="1763395"/>
                  <wp:effectExtent l="0" t="0" r="8890"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115560" cy="1763395"/>
                          </a:xfrm>
                          <a:prstGeom prst="rect">
                            <a:avLst/>
                          </a:prstGeom>
                          <a:noFill/>
                          <a:ln>
                            <a:noFill/>
                          </a:ln>
                        </pic:spPr>
                      </pic:pic>
                    </a:graphicData>
                  </a:graphic>
                </wp:inline>
              </w:drawing>
            </w:r>
          </w:p>
          <w:p>
            <w:pPr>
              <w:adjustRightInd w:val="0"/>
              <w:snapToGrid w:val="0"/>
              <w:spacing w:line="500" w:lineRule="exact"/>
              <w:jc w:val="center"/>
              <w:rPr>
                <w:rFonts w:hint="default" w:ascii="Times New Roman" w:hAnsi="Times New Roman" w:eastAsia="宋体" w:cs="Times New Roman"/>
                <w:snapToGrid w:val="0"/>
                <w:kern w:val="0"/>
                <w:sz w:val="24"/>
              </w:rPr>
            </w:pPr>
            <w:r>
              <w:rPr>
                <w:rFonts w:hint="default" w:ascii="Times New Roman" w:hAnsi="Times New Roman" w:eastAsia="宋体" w:cs="Times New Roman"/>
                <w:b/>
                <w:kern w:val="0"/>
                <w:sz w:val="24"/>
              </w:rPr>
              <w:t>图2-</w:t>
            </w:r>
            <w:r>
              <w:rPr>
                <w:rFonts w:hint="eastAsia" w:ascii="Times New Roman" w:hAnsi="Times New Roman" w:eastAsia="宋体" w:cs="Times New Roman"/>
                <w:b/>
                <w:kern w:val="0"/>
                <w:sz w:val="24"/>
                <w:lang w:val="en-US" w:eastAsia="zh-CN"/>
              </w:rPr>
              <w:t>3</w:t>
            </w:r>
            <w:r>
              <w:rPr>
                <w:rFonts w:hint="default" w:ascii="Times New Roman" w:hAnsi="Times New Roman" w:eastAsia="宋体" w:cs="Times New Roman"/>
                <w:b/>
                <w:kern w:val="0"/>
                <w:sz w:val="24"/>
              </w:rPr>
              <w:t xml:space="preserve"> 生产工艺流程及产污环节图</w:t>
            </w:r>
          </w:p>
          <w:p>
            <w:pPr>
              <w:pStyle w:val="30"/>
              <w:adjustRightInd w:val="0"/>
              <w:snapToGrid w:val="0"/>
              <w:ind w:firstLine="0" w:firstLineChars="0"/>
              <w:rPr>
                <w:rFonts w:hint="default" w:ascii="Times New Roman" w:hAnsi="Times New Roman" w:eastAsia="宋体" w:cs="Times New Roman"/>
                <w:b/>
                <w:bCs/>
                <w:snapToGrid w:val="0"/>
                <w:kern w:val="0"/>
              </w:rPr>
            </w:pPr>
            <w:r>
              <w:rPr>
                <w:rFonts w:hint="default" w:ascii="Times New Roman" w:hAnsi="Times New Roman" w:eastAsia="宋体" w:cs="Times New Roman"/>
                <w:b/>
                <w:bCs/>
                <w:snapToGrid w:val="0"/>
                <w:kern w:val="0"/>
              </w:rPr>
              <w:t>二、工艺简述：</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bCs/>
                <w:kern w:val="0"/>
              </w:rPr>
              <w:t>各工序设备（下料机、封底机、烤底机、压颈机、封口机）运行需要的动力由空压机压缩空气提供，下料机、封底机、烤底机、压颈机、封口机对玻璃加热所需热量由液化石油气燃烧提供</w:t>
            </w:r>
            <w:r>
              <w:rPr>
                <w:rFonts w:hint="eastAsia" w:cs="Times New Roman"/>
                <w:bCs/>
                <w:kern w:val="0"/>
                <w:lang w:eastAsia="zh-CN"/>
              </w:rPr>
              <w:t>，退火工艺使用电加热</w:t>
            </w:r>
            <w:r>
              <w:rPr>
                <w:rFonts w:hint="default" w:ascii="Times New Roman" w:hAnsi="Times New Roman" w:eastAsia="宋体" w:cs="Times New Roman"/>
                <w:bCs/>
                <w:kern w:val="0"/>
              </w:rPr>
              <w:t>。</w:t>
            </w:r>
          </w:p>
          <w:p>
            <w:pPr>
              <w:pStyle w:val="30"/>
              <w:adjustRightInd w:val="0"/>
              <w:snapToGrid w:val="0"/>
              <w:rPr>
                <w:rFonts w:hint="default" w:ascii="Times New Roman" w:hAnsi="Times New Roman" w:eastAsia="宋体" w:cs="Times New Roman"/>
                <w:bCs/>
                <w:kern w:val="0"/>
                <w:lang w:eastAsia="zh-CN"/>
              </w:rPr>
            </w:pPr>
            <w:r>
              <w:rPr>
                <w:rFonts w:hint="default" w:ascii="Times New Roman" w:hAnsi="Times New Roman" w:eastAsia="宋体" w:cs="Times New Roman"/>
                <w:bCs/>
                <w:kern w:val="0"/>
              </w:rPr>
              <w:t>1、下料</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kern w:val="0"/>
              </w:rPr>
              <w:t>采用下料机（玻璃刀）将玻璃管切割成工艺要求长度</w:t>
            </w:r>
            <w:r>
              <w:rPr>
                <w:rFonts w:hint="default" w:ascii="Times New Roman" w:hAnsi="Times New Roman" w:eastAsia="宋体" w:cs="Times New Roman"/>
                <w:bCs/>
                <w:kern w:val="0"/>
              </w:rPr>
              <w:t>；此过程产生</w:t>
            </w:r>
            <w:r>
              <w:rPr>
                <w:rFonts w:hint="default" w:ascii="Times New Roman" w:hAnsi="Times New Roman" w:eastAsia="宋体" w:cs="Times New Roman"/>
                <w:kern w:val="0"/>
              </w:rPr>
              <w:t>一定量的边角料，设备运行噪声、罐装液化石油气燃烧过程产生少量烟尘、二氧化硫、氮氧化物</w:t>
            </w:r>
            <w:r>
              <w:rPr>
                <w:rFonts w:hint="default" w:ascii="Times New Roman" w:hAnsi="Times New Roman" w:eastAsia="宋体" w:cs="Times New Roman"/>
                <w:bCs/>
                <w:kern w:val="0"/>
              </w:rPr>
              <w:t>。</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bCs/>
                <w:kern w:val="0"/>
              </w:rPr>
              <w:t>2、瓶底处理</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kern w:val="0"/>
              </w:rPr>
              <w:t>采用封底机将切割好的玻璃管一分为二，封底过程中使用液氧和液化石油气辅助。将锯断的玻璃管放在烧底机上，燃烧液化石油气产生的高温使玻璃管的一端熔融形成玻璃杯底</w:t>
            </w:r>
            <w:r>
              <w:rPr>
                <w:rFonts w:hint="default" w:ascii="Times New Roman" w:hAnsi="Times New Roman" w:eastAsia="宋体" w:cs="Times New Roman"/>
                <w:bCs/>
                <w:kern w:val="0"/>
              </w:rPr>
              <w:t>。此过程</w:t>
            </w:r>
            <w:r>
              <w:rPr>
                <w:rFonts w:hint="default" w:ascii="Times New Roman" w:hAnsi="Times New Roman" w:eastAsia="宋体" w:cs="Times New Roman"/>
                <w:kern w:val="0"/>
              </w:rPr>
              <w:t>罐装液化石油气燃烧</w:t>
            </w:r>
            <w:r>
              <w:rPr>
                <w:rFonts w:hint="default" w:ascii="Times New Roman" w:hAnsi="Times New Roman" w:eastAsia="宋体" w:cs="Times New Roman"/>
                <w:bCs/>
                <w:kern w:val="0"/>
              </w:rPr>
              <w:t>产生</w:t>
            </w:r>
            <w:r>
              <w:rPr>
                <w:rFonts w:hint="default" w:ascii="Times New Roman" w:hAnsi="Times New Roman" w:eastAsia="宋体" w:cs="Times New Roman"/>
                <w:kern w:val="0"/>
              </w:rPr>
              <w:t>少量烟尘、二氧化硫、氮氧化物，设备运行噪声。</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bCs/>
                <w:kern w:val="0"/>
              </w:rPr>
              <w:t>3、压颈</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kern w:val="0"/>
              </w:rPr>
              <w:t>部分玻璃做作为内瓶采用压颈机压颈，以用于安装滤网，压颈过程中使用液氧和液化石油气辅助</w:t>
            </w:r>
            <w:r>
              <w:rPr>
                <w:rFonts w:hint="default" w:ascii="Times New Roman" w:hAnsi="Times New Roman" w:eastAsia="宋体" w:cs="Times New Roman"/>
                <w:bCs/>
                <w:kern w:val="0"/>
              </w:rPr>
              <w:t>；此过程</w:t>
            </w:r>
            <w:r>
              <w:rPr>
                <w:rFonts w:hint="default" w:ascii="Times New Roman" w:hAnsi="Times New Roman" w:eastAsia="宋体" w:cs="Times New Roman"/>
                <w:kern w:val="0"/>
              </w:rPr>
              <w:t>罐装液化石油气燃烧</w:t>
            </w:r>
            <w:r>
              <w:rPr>
                <w:rFonts w:hint="default" w:ascii="Times New Roman" w:hAnsi="Times New Roman" w:eastAsia="宋体" w:cs="Times New Roman"/>
                <w:bCs/>
                <w:kern w:val="0"/>
              </w:rPr>
              <w:t>产生</w:t>
            </w:r>
            <w:r>
              <w:rPr>
                <w:rFonts w:hint="default" w:ascii="Times New Roman" w:hAnsi="Times New Roman" w:eastAsia="宋体" w:cs="Times New Roman"/>
                <w:kern w:val="0"/>
              </w:rPr>
              <w:t>少量烟尘、二氧化硫、氮氧化物，设备运行噪声</w:t>
            </w:r>
            <w:r>
              <w:rPr>
                <w:rFonts w:hint="default" w:ascii="Times New Roman" w:hAnsi="Times New Roman" w:eastAsia="宋体" w:cs="Times New Roman"/>
                <w:bCs/>
                <w:kern w:val="0"/>
              </w:rPr>
              <w:t>。</w:t>
            </w:r>
          </w:p>
          <w:p>
            <w:pPr>
              <w:pStyle w:val="30"/>
              <w:adjustRightInd w:val="0"/>
              <w:snapToGrid w:val="0"/>
              <w:rPr>
                <w:rFonts w:hint="eastAsia" w:ascii="Times New Roman" w:hAnsi="Times New Roman" w:eastAsia="宋体" w:cs="Times New Roman"/>
                <w:bCs/>
                <w:kern w:val="0"/>
                <w:lang w:eastAsia="zh-CN"/>
              </w:rPr>
            </w:pPr>
            <w:r>
              <w:rPr>
                <w:rFonts w:hint="default" w:ascii="Times New Roman" w:hAnsi="Times New Roman" w:eastAsia="宋体" w:cs="Times New Roman"/>
                <w:bCs/>
                <w:kern w:val="0"/>
              </w:rPr>
              <w:t>4、</w:t>
            </w:r>
            <w:r>
              <w:rPr>
                <w:rFonts w:hint="eastAsia" w:cs="Times New Roman"/>
                <w:bCs/>
                <w:kern w:val="0"/>
                <w:lang w:eastAsia="zh-CN"/>
              </w:rPr>
              <w:t>杯体退火</w:t>
            </w:r>
          </w:p>
          <w:p>
            <w:pPr>
              <w:pStyle w:val="30"/>
              <w:adjustRightInd w:val="0"/>
              <w:snapToGrid w:val="0"/>
              <w:rPr>
                <w:rFonts w:hint="default" w:ascii="Times New Roman" w:hAnsi="Times New Roman" w:eastAsia="宋体" w:cs="Times New Roman"/>
                <w:kern w:val="0"/>
              </w:rPr>
            </w:pPr>
            <w:r>
              <w:rPr>
                <w:rFonts w:hint="eastAsia" w:cs="Times New Roman"/>
                <w:kern w:val="0"/>
                <w:lang w:eastAsia="zh-CN"/>
              </w:rPr>
              <w:t>玻璃工件放置在电炉中进行加热（采用电炉进行退火，电炉采用电加热，取消烤花工艺，不会产生废气），温度控制在</w:t>
            </w:r>
            <w:r>
              <w:rPr>
                <w:rFonts w:hint="eastAsia" w:cs="Times New Roman"/>
                <w:kern w:val="0"/>
                <w:lang w:val="en-US" w:eastAsia="zh-CN"/>
              </w:rPr>
              <w:t>560℃~580℃之间，时长20分钟，取消应力，稳定玻璃内部结构</w:t>
            </w:r>
            <w:r>
              <w:rPr>
                <w:rFonts w:hint="default" w:ascii="Times New Roman" w:hAnsi="Times New Roman" w:eastAsia="宋体" w:cs="Times New Roman"/>
                <w:kern w:val="0"/>
              </w:rPr>
              <w:t>。</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bCs/>
                <w:kern w:val="0"/>
              </w:rPr>
              <w:t>5、封口</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kern w:val="0"/>
              </w:rPr>
              <w:t>将加工好的内瓶和外瓶用封口机进行封口，制成玻璃杯。割底过程中使用液氧和液化石油气辅助。</w:t>
            </w:r>
            <w:r>
              <w:rPr>
                <w:rFonts w:hint="default" w:ascii="Times New Roman" w:hAnsi="Times New Roman" w:eastAsia="宋体" w:cs="Times New Roman"/>
                <w:bCs/>
                <w:kern w:val="0"/>
              </w:rPr>
              <w:t>玻璃杯毛坯封口结束后在电炉箱内进行退火，消除玻璃内部应力成为成品玻璃杯。此过程</w:t>
            </w:r>
            <w:r>
              <w:rPr>
                <w:rFonts w:hint="default" w:ascii="Times New Roman" w:hAnsi="Times New Roman" w:eastAsia="宋体" w:cs="Times New Roman"/>
                <w:kern w:val="0"/>
              </w:rPr>
              <w:t>罐装液化石油气燃烧</w:t>
            </w:r>
            <w:r>
              <w:rPr>
                <w:rFonts w:hint="default" w:ascii="Times New Roman" w:hAnsi="Times New Roman" w:eastAsia="宋体" w:cs="Times New Roman"/>
                <w:bCs/>
                <w:kern w:val="0"/>
              </w:rPr>
              <w:t>产生</w:t>
            </w:r>
            <w:r>
              <w:rPr>
                <w:rFonts w:hint="default" w:ascii="Times New Roman" w:hAnsi="Times New Roman" w:eastAsia="宋体" w:cs="Times New Roman"/>
                <w:kern w:val="0"/>
              </w:rPr>
              <w:t>少量烟尘、二氧化硫、氮氧化物，设备运行噪声</w:t>
            </w:r>
            <w:r>
              <w:rPr>
                <w:rFonts w:hint="default" w:ascii="Times New Roman" w:hAnsi="Times New Roman" w:eastAsia="宋体" w:cs="Times New Roman"/>
                <w:bCs/>
                <w:kern w:val="0"/>
              </w:rPr>
              <w:t>。</w:t>
            </w:r>
          </w:p>
          <w:p>
            <w:pPr>
              <w:pStyle w:val="30"/>
              <w:numPr>
                <w:numId w:val="0"/>
              </w:numPr>
              <w:adjustRightInd w:val="0"/>
              <w:snapToGrid w:val="0"/>
              <w:ind w:leftChars="200"/>
              <w:rPr>
                <w:rFonts w:hint="eastAsia" w:cs="Times New Roman"/>
                <w:bCs/>
                <w:kern w:val="0"/>
                <w:lang w:val="en-US" w:eastAsia="zh-CN"/>
              </w:rPr>
            </w:pPr>
            <w:r>
              <w:rPr>
                <w:rFonts w:hint="eastAsia" w:cs="Times New Roman"/>
                <w:bCs/>
                <w:kern w:val="0"/>
                <w:lang w:val="en-US" w:eastAsia="zh-CN"/>
              </w:rPr>
              <w:t>6、整体退火</w:t>
            </w:r>
          </w:p>
          <w:p>
            <w:pPr>
              <w:pStyle w:val="30"/>
              <w:keepNext w:val="0"/>
              <w:keepLines w:val="0"/>
              <w:pageBreakBefore w:val="0"/>
              <w:widowControl w:val="0"/>
              <w:numPr>
                <w:numId w:val="0"/>
              </w:numPr>
              <w:kinsoku/>
              <w:wordWrap/>
              <w:overflowPunct/>
              <w:topLinePunct w:val="0"/>
              <w:autoSpaceDE/>
              <w:autoSpaceDN/>
              <w:bidi w:val="0"/>
              <w:adjustRightInd w:val="0"/>
              <w:snapToGrid w:val="0"/>
              <w:ind w:leftChars="0" w:firstLine="480" w:firstLineChars="200"/>
              <w:textAlignment w:val="auto"/>
              <w:rPr>
                <w:rFonts w:hint="default" w:cs="Times New Roman"/>
                <w:bCs/>
                <w:kern w:val="0"/>
                <w:lang w:val="en-US" w:eastAsia="zh-CN"/>
              </w:rPr>
            </w:pPr>
            <w:r>
              <w:rPr>
                <w:rFonts w:hint="eastAsia" w:cs="Times New Roman"/>
                <w:kern w:val="0"/>
                <w:lang w:eastAsia="zh-CN"/>
              </w:rPr>
              <w:t>玻璃工件放置在电炉中进行加热（采用电炉进行退火，电炉采用电加热，取消烤花工艺，不会产生废气），温度控制在</w:t>
            </w:r>
            <w:r>
              <w:rPr>
                <w:rFonts w:hint="eastAsia" w:cs="Times New Roman"/>
                <w:kern w:val="0"/>
                <w:lang w:val="en-US" w:eastAsia="zh-CN"/>
              </w:rPr>
              <w:t>560℃~580℃之间，时长20分钟，取消应力，稳定玻璃内部结构。</w:t>
            </w:r>
          </w:p>
          <w:p>
            <w:pPr>
              <w:pStyle w:val="30"/>
              <w:adjustRightInd w:val="0"/>
              <w:snapToGrid w:val="0"/>
              <w:rPr>
                <w:rFonts w:hint="default" w:ascii="Times New Roman" w:hAnsi="Times New Roman" w:eastAsia="宋体" w:cs="Times New Roman"/>
                <w:bCs/>
                <w:kern w:val="0"/>
              </w:rPr>
            </w:pPr>
            <w:r>
              <w:rPr>
                <w:rFonts w:hint="eastAsia" w:cs="Times New Roman"/>
                <w:bCs/>
                <w:kern w:val="0"/>
                <w:lang w:val="en-US" w:eastAsia="zh-CN"/>
              </w:rPr>
              <w:t>7</w:t>
            </w:r>
            <w:r>
              <w:rPr>
                <w:rFonts w:hint="default" w:ascii="Times New Roman" w:hAnsi="Times New Roman" w:eastAsia="宋体" w:cs="Times New Roman"/>
                <w:bCs/>
                <w:kern w:val="0"/>
              </w:rPr>
              <w:t>、清洁</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bCs/>
                <w:kern w:val="0"/>
              </w:rPr>
              <w:t>将退火后的成品玻璃杯进行表面清理，清理分为两种方式：一、利用清洗机清洗后再用甩干机甩干；二、利用擦杯机将表面清理干净。清洗机清洗过程使用自来水，不加入任何洗涤用品，清洗用水循环利用，不外排；擦杯机表面清洁过程会产生一定量的废擦布，属于一般固废，暂存于垃圾桶内由环卫部门清理；清洗废水经沉淀池沉淀后循环使用，沉淀过程产生一定量的污泥。</w:t>
            </w:r>
          </w:p>
          <w:p>
            <w:pPr>
              <w:pStyle w:val="30"/>
              <w:adjustRightInd w:val="0"/>
              <w:snapToGrid w:val="0"/>
              <w:rPr>
                <w:rFonts w:hint="default" w:ascii="Times New Roman" w:hAnsi="Times New Roman" w:eastAsia="宋体" w:cs="Times New Roman"/>
                <w:bCs/>
                <w:kern w:val="0"/>
              </w:rPr>
            </w:pPr>
            <w:r>
              <w:rPr>
                <w:rFonts w:hint="eastAsia" w:cs="Times New Roman"/>
                <w:bCs/>
                <w:kern w:val="0"/>
                <w:lang w:val="en-US" w:eastAsia="zh-CN"/>
              </w:rPr>
              <w:t>8</w:t>
            </w:r>
            <w:r>
              <w:rPr>
                <w:rFonts w:hint="default" w:ascii="Times New Roman" w:hAnsi="Times New Roman" w:eastAsia="宋体" w:cs="Times New Roman"/>
                <w:bCs/>
                <w:kern w:val="0"/>
              </w:rPr>
              <w:t>、检测</w:t>
            </w:r>
          </w:p>
          <w:p>
            <w:pPr>
              <w:pStyle w:val="30"/>
              <w:adjustRightInd w:val="0"/>
              <w:snapToGrid w:val="0"/>
              <w:rPr>
                <w:rFonts w:hint="default" w:ascii="Times New Roman" w:hAnsi="Times New Roman" w:eastAsia="宋体" w:cs="Times New Roman"/>
                <w:bCs/>
                <w:kern w:val="0"/>
              </w:rPr>
            </w:pPr>
            <w:r>
              <w:rPr>
                <w:rFonts w:hint="default" w:ascii="Times New Roman" w:hAnsi="Times New Roman" w:eastAsia="宋体" w:cs="Times New Roman"/>
                <w:kern w:val="0"/>
              </w:rPr>
              <w:t>对成品进行检测，把有裂纹、口部不平整、口部及杯身不圆、底部不平整、表面有油灰印、水波纹的不合格产品存放于一般固废暂存区，交玻璃管生产厂家回收利用。</w:t>
            </w:r>
          </w:p>
          <w:p>
            <w:pPr>
              <w:pStyle w:val="30"/>
              <w:adjustRightInd w:val="0"/>
              <w:snapToGrid w:val="0"/>
              <w:rPr>
                <w:rFonts w:hint="default" w:ascii="Times New Roman" w:hAnsi="Times New Roman" w:eastAsia="宋体" w:cs="Times New Roman"/>
                <w:bCs/>
                <w:kern w:val="0"/>
              </w:rPr>
            </w:pPr>
            <w:r>
              <w:rPr>
                <w:rFonts w:hint="eastAsia" w:cs="Times New Roman"/>
                <w:bCs/>
                <w:kern w:val="0"/>
                <w:lang w:val="en-US" w:eastAsia="zh-CN"/>
              </w:rPr>
              <w:t>9</w:t>
            </w:r>
            <w:r>
              <w:rPr>
                <w:rFonts w:hint="default" w:ascii="Times New Roman" w:hAnsi="Times New Roman" w:eastAsia="宋体" w:cs="Times New Roman"/>
                <w:bCs/>
                <w:kern w:val="0"/>
              </w:rPr>
              <w:t>、封盖</w:t>
            </w:r>
          </w:p>
          <w:p>
            <w:pPr>
              <w:pStyle w:val="30"/>
              <w:adjustRightInd w:val="0"/>
              <w:snapToGrid w:val="0"/>
              <w:ind w:left="420" w:leftChars="200" w:firstLine="0" w:firstLineChars="0"/>
              <w:rPr>
                <w:rFonts w:hint="default" w:ascii="Times New Roman" w:hAnsi="Times New Roman" w:eastAsia="宋体" w:cs="Times New Roman"/>
                <w:bCs/>
                <w:kern w:val="0"/>
              </w:rPr>
            </w:pPr>
            <w:r>
              <w:rPr>
                <w:rFonts w:hint="default" w:ascii="Times New Roman" w:hAnsi="Times New Roman" w:eastAsia="宋体" w:cs="Times New Roman"/>
                <w:bCs/>
                <w:kern w:val="0"/>
              </w:rPr>
              <w:t>将检测合格的合格品与外购的杯盖组合即成为成品，包装入库。</w:t>
            </w:r>
          </w:p>
          <w:p>
            <w:pPr>
              <w:spacing w:line="360" w:lineRule="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三、主要污染环节</w:t>
            </w:r>
          </w:p>
          <w:p>
            <w:pPr>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1、废气</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eastAsia="zh-CN"/>
              </w:rPr>
              <w:t>技改后全厂</w:t>
            </w:r>
            <w:r>
              <w:rPr>
                <w:rFonts w:hint="default" w:ascii="Times New Roman" w:hAnsi="Times New Roman" w:eastAsia="宋体" w:cs="Times New Roman"/>
                <w:kern w:val="0"/>
                <w:sz w:val="24"/>
              </w:rPr>
              <w:t>废气主要为液化石油气燃烧产生的颗粒物、SO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、NOx。</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2.废水</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eastAsia="zh-CN"/>
              </w:rPr>
              <w:t>技改后全厂</w:t>
            </w:r>
            <w:r>
              <w:rPr>
                <w:rFonts w:hint="default" w:ascii="Times New Roman" w:hAnsi="Times New Roman" w:eastAsia="宋体" w:cs="Times New Roman"/>
                <w:kern w:val="0"/>
                <w:sz w:val="24"/>
              </w:rPr>
              <w:t>废水主要是职工生活污水。</w:t>
            </w:r>
          </w:p>
          <w:p>
            <w:pPr>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3.噪声</w:t>
            </w:r>
          </w:p>
          <w:p>
            <w:pPr>
              <w:adjustRightInd w:val="0"/>
              <w:snapToGrid w:val="0"/>
              <w:spacing w:line="360" w:lineRule="auto"/>
              <w:ind w:firstLine="480" w:firstLineChars="200"/>
              <w:rPr>
                <w:rFonts w:hint="default" w:ascii="Times New Roman" w:hAnsi="Times New Roman" w:eastAsia="宋体" w:cs="Times New Roman"/>
                <w:b/>
                <w:bCs/>
                <w:kern w:val="0"/>
                <w:sz w:val="24"/>
                <w:highlight w:val="yellow"/>
              </w:rPr>
            </w:pPr>
            <w:r>
              <w:rPr>
                <w:rFonts w:hint="default" w:ascii="Times New Roman" w:hAnsi="Times New Roman" w:eastAsia="宋体" w:cs="Times New Roman"/>
                <w:kern w:val="0"/>
                <w:sz w:val="24"/>
                <w:lang w:eastAsia="zh-CN"/>
              </w:rPr>
              <w:t>技改后全厂</w:t>
            </w:r>
            <w:r>
              <w:rPr>
                <w:rFonts w:hint="default" w:ascii="Times New Roman" w:hAnsi="Times New Roman" w:eastAsia="宋体" w:cs="Times New Roman"/>
                <w:kern w:val="0"/>
                <w:sz w:val="24"/>
              </w:rPr>
              <w:t>噪声主要来自于空压机、封底机、下料机、烧底机、封口机、清洗机、压颈机等设备运行过程产生的噪声，噪声级在60~95dB（A）之间。项目运行过程中对声源采用隔音和减振措施，设备均置于生产车间内，有效地降低设备噪声对周围环境的影响。</w:t>
            </w:r>
          </w:p>
          <w:p>
            <w:pPr>
              <w:tabs>
                <w:tab w:val="left" w:pos="7740"/>
              </w:tabs>
              <w:spacing w:line="360" w:lineRule="auto"/>
              <w:ind w:firstLine="482" w:firstLineChars="200"/>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4.固废</w:t>
            </w:r>
          </w:p>
          <w:p>
            <w:pPr>
              <w:spacing w:line="360" w:lineRule="auto"/>
              <w:ind w:firstLine="480" w:firstLineChars="200"/>
              <w:textAlignment w:val="baseline"/>
              <w:rPr>
                <w:rFonts w:hint="default" w:ascii="Times New Roman" w:hAnsi="Times New Roman" w:eastAsia="宋体" w:cs="Times New Roman"/>
                <w:bCs/>
                <w:kern w:val="0"/>
                <w:sz w:val="24"/>
              </w:rPr>
            </w:pPr>
            <w:r>
              <w:rPr>
                <w:rFonts w:hint="default" w:ascii="Times New Roman" w:hAnsi="Times New Roman" w:eastAsia="宋体" w:cs="Times New Roman"/>
                <w:kern w:val="0"/>
                <w:sz w:val="24"/>
                <w:lang w:eastAsia="zh-CN"/>
              </w:rPr>
              <w:t>技改后全厂</w:t>
            </w:r>
            <w:r>
              <w:rPr>
                <w:rFonts w:hint="default" w:ascii="Times New Roman" w:hAnsi="Times New Roman" w:eastAsia="宋体" w:cs="Times New Roman"/>
                <w:kern w:val="0"/>
                <w:sz w:val="24"/>
              </w:rPr>
              <w:t>固体废物主要为</w:t>
            </w:r>
            <w:r>
              <w:rPr>
                <w:rFonts w:hint="default" w:ascii="Times New Roman" w:hAnsi="Times New Roman" w:eastAsia="宋体" w:cs="Times New Roman"/>
                <w:kern w:val="0"/>
                <w:sz w:val="24"/>
                <w:lang w:eastAsia="zh-CN"/>
              </w:rPr>
              <w:t>生活垃圾、</w:t>
            </w:r>
            <w:r>
              <w:rPr>
                <w:rFonts w:hint="default" w:ascii="Times New Roman" w:hAnsi="Times New Roman" w:eastAsia="宋体" w:cs="Times New Roman"/>
                <w:kern w:val="0"/>
                <w:sz w:val="24"/>
              </w:rPr>
              <w:t>一般工业固废和危险废物。其中一般工业固废为下料过程产生的下脚料、检验过程产生的不合格产品，下料、包装过程产生的废包装材料，清洁过程产生的沉淀污泥，清洁过程产生的废擦布；危险废物主要为设备维修维护过程产生的含油废抹布（HW49，900-041-49）、废油桶（HW08，900-212-08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vAlign w:val="center"/>
          </w:tcPr>
          <w:p>
            <w:pPr>
              <w:pStyle w:val="17"/>
              <w:adjustRightInd w:val="0"/>
              <w:snapToGrid w:val="0"/>
              <w:spacing w:before="0" w:beforeAutospacing="0" w:after="0" w:afterAutospacing="0"/>
              <w:jc w:val="center"/>
              <w:rPr>
                <w:rFonts w:hint="default" w:ascii="Times New Roman" w:hAnsi="Times New Roman" w:eastAsia="宋体" w:cs="Times New Roman"/>
                <w:kern w:val="0"/>
                <w:szCs w:val="24"/>
              </w:rPr>
            </w:pPr>
            <w:r>
              <w:rPr>
                <w:rFonts w:hint="default" w:ascii="Times New Roman" w:hAnsi="Times New Roman" w:eastAsia="宋体" w:cs="Times New Roman"/>
                <w:bCs/>
                <w:kern w:val="0"/>
                <w:szCs w:val="24"/>
              </w:rPr>
              <w:t>与项目有关的原有环境污染问题</w:t>
            </w:r>
          </w:p>
        </w:tc>
        <w:tc>
          <w:tcPr>
            <w:tcW w:w="8287" w:type="dxa"/>
            <w:vAlign w:val="center"/>
          </w:tcPr>
          <w:p>
            <w:pPr>
              <w:snapToGrid w:val="0"/>
              <w:spacing w:line="360" w:lineRule="auto"/>
              <w:ind w:firstLine="480" w:firstLineChars="200"/>
              <w:textAlignment w:val="baseline"/>
              <w:rPr>
                <w:rFonts w:hint="default" w:ascii="Times New Roman" w:hAnsi="Times New Roman" w:eastAsia="宋体" w:cs="Times New Roman"/>
                <w:kern w:val="0"/>
                <w:sz w:val="24"/>
              </w:rPr>
            </w:pPr>
            <w:r>
              <w:rPr>
                <w:rFonts w:hint="default" w:ascii="Times New Roman" w:hAnsi="Times New Roman" w:eastAsia="宋体" w:cs="Times New Roman"/>
                <w:kern w:val="0"/>
                <w:sz w:val="24"/>
              </w:rPr>
              <w:t>一、现有项目环保手续</w:t>
            </w:r>
          </w:p>
          <w:p>
            <w:pPr>
              <w:snapToGrid w:val="0"/>
              <w:spacing w:line="360" w:lineRule="auto"/>
              <w:ind w:firstLine="480" w:firstLineChars="200"/>
              <w:textAlignment w:val="baseline"/>
              <w:rPr>
                <w:rFonts w:hint="default" w:ascii="Times New Roman" w:hAnsi="Times New Roman" w:eastAsia="宋体" w:cs="Times New Roman"/>
                <w:kern w:val="0"/>
                <w:sz w:val="24"/>
              </w:rPr>
            </w:pPr>
            <w:r>
              <w:rPr>
                <w:rFonts w:hint="default" w:ascii="Times New Roman" w:hAnsi="Times New Roman" w:eastAsia="宋体" w:cs="Times New Roman"/>
                <w:kern w:val="0"/>
                <w:sz w:val="24"/>
              </w:rPr>
              <w:t>淄博圣彩玻璃制品有限公司原址位于淄博市文昌湖区萌水镇西衣村南首。主要经营范围包括玻璃杯、玻璃制品销售；包装制品（不含印刷）生产、销售；服装，日用百货销售。（依法须经批准的项目，经相关部门批准后方可开展经营活动）。</w:t>
            </w:r>
          </w:p>
          <w:p>
            <w:pPr>
              <w:snapToGrid w:val="0"/>
              <w:spacing w:line="360" w:lineRule="auto"/>
              <w:ind w:firstLine="480" w:firstLineChars="200"/>
              <w:textAlignment w:val="baseline"/>
              <w:rPr>
                <w:rFonts w:hint="default" w:ascii="Times New Roman" w:hAnsi="Times New Roman" w:eastAsia="宋体" w:cs="Times New Roman"/>
                <w:kern w:val="0"/>
                <w:sz w:val="24"/>
              </w:rPr>
            </w:pPr>
            <w:r>
              <w:rPr>
                <w:rFonts w:hint="default" w:ascii="Times New Roman" w:hAnsi="Times New Roman" w:eastAsia="宋体" w:cs="Times New Roman"/>
                <w:kern w:val="0"/>
                <w:sz w:val="24"/>
              </w:rPr>
              <w:t>公司现有“年产80万只玻璃杯项目”，该项目于2015年10月15日投产，2017年3月委托聊城大学编制《年产80万只玻璃杯项目建设项目环境影响现状评价》，于2017年7月20日取得文昌湖旅游度假区生态和环境保护局的</w:t>
            </w:r>
            <w:r>
              <w:rPr>
                <w:rFonts w:hint="default" w:ascii="Times New Roman" w:hAnsi="Times New Roman" w:eastAsia="宋体" w:cs="Times New Roman"/>
                <w:kern w:val="0"/>
                <w:sz w:val="24"/>
                <w:lang w:eastAsia="zh-CN"/>
              </w:rPr>
              <w:t>备案</w:t>
            </w:r>
            <w:r>
              <w:rPr>
                <w:rFonts w:hint="default" w:ascii="Times New Roman" w:hAnsi="Times New Roman" w:eastAsia="宋体" w:cs="Times New Roman"/>
                <w:kern w:val="0"/>
                <w:sz w:val="24"/>
              </w:rPr>
              <w:t>意见（淄文环审[2017]272号）。</w:t>
            </w:r>
          </w:p>
          <w:p>
            <w:pPr>
              <w:pStyle w:val="2"/>
              <w:numPr>
                <w:ilvl w:val="0"/>
                <w:numId w:val="4"/>
              </w:numPr>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lang w:eastAsia="zh-CN"/>
              </w:rPr>
              <w:t>现有项目</w:t>
            </w:r>
            <w:r>
              <w:rPr>
                <w:rFonts w:hint="default" w:ascii="Times New Roman" w:hAnsi="Times New Roman" w:eastAsia="宋体" w:cs="Times New Roman"/>
                <w:kern w:val="0"/>
                <w:szCs w:val="24"/>
              </w:rPr>
              <w:t>生产工艺流程</w:t>
            </w:r>
          </w:p>
          <w:p>
            <w:pPr>
              <w:numPr>
                <w:ilvl w:val="0"/>
                <w:numId w:val="5"/>
              </w:num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工艺流程</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工艺流程见下图：</w:t>
            </w:r>
          </w:p>
          <w:p>
            <w:pPr>
              <w:pStyle w:val="2"/>
              <w:spacing w:after="0" w:line="360" w:lineRule="auto"/>
              <w:ind w:left="0" w:leftChars="0" w:firstLine="0" w:firstLineChars="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drawing>
                <wp:inline distT="0" distB="0" distL="114300" distR="114300">
                  <wp:extent cx="4815205" cy="1911985"/>
                  <wp:effectExtent l="0" t="0" r="4445" b="1206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1"/>
                          <a:stretch>
                            <a:fillRect/>
                          </a:stretch>
                        </pic:blipFill>
                        <pic:spPr>
                          <a:xfrm>
                            <a:off x="0" y="0"/>
                            <a:ext cx="4815205" cy="1911985"/>
                          </a:xfrm>
                          <a:prstGeom prst="rect">
                            <a:avLst/>
                          </a:prstGeom>
                          <a:noFill/>
                          <a:ln>
                            <a:noFill/>
                          </a:ln>
                        </pic:spPr>
                      </pic:pic>
                    </a:graphicData>
                  </a:graphic>
                </wp:inline>
              </w:drawing>
            </w:r>
          </w:p>
          <w:p>
            <w:pPr>
              <w:spacing w:line="360" w:lineRule="auto"/>
              <w:ind w:firstLine="482" w:firstLineChars="200"/>
              <w:jc w:val="center"/>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图2-</w:t>
            </w:r>
            <w:r>
              <w:rPr>
                <w:rFonts w:hint="eastAsia" w:ascii="Times New Roman" w:hAnsi="Times New Roman" w:eastAsia="宋体" w:cs="Times New Roman"/>
                <w:b/>
                <w:bCs/>
                <w:kern w:val="0"/>
                <w:sz w:val="24"/>
                <w:lang w:val="en-US" w:eastAsia="zh-CN"/>
              </w:rPr>
              <w:t>4</w:t>
            </w:r>
            <w:r>
              <w:rPr>
                <w:rFonts w:hint="default" w:ascii="Times New Roman" w:hAnsi="Times New Roman" w:eastAsia="宋体" w:cs="Times New Roman"/>
                <w:b/>
                <w:bCs/>
                <w:kern w:val="0"/>
                <w:sz w:val="24"/>
              </w:rPr>
              <w:t xml:space="preserve"> </w:t>
            </w:r>
            <w:r>
              <w:rPr>
                <w:rFonts w:hint="default" w:ascii="Times New Roman" w:hAnsi="Times New Roman" w:eastAsia="宋体" w:cs="Times New Roman"/>
                <w:b/>
                <w:bCs/>
                <w:kern w:val="0"/>
                <w:sz w:val="24"/>
                <w:lang w:eastAsia="zh-CN"/>
              </w:rPr>
              <w:t>现有项目</w:t>
            </w:r>
            <w:r>
              <w:rPr>
                <w:rFonts w:hint="default" w:ascii="Times New Roman" w:hAnsi="Times New Roman" w:eastAsia="宋体" w:cs="Times New Roman"/>
                <w:b/>
                <w:bCs/>
                <w:kern w:val="0"/>
                <w:sz w:val="24"/>
              </w:rPr>
              <w:t>工艺流程图</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工艺简述：</w:t>
            </w:r>
          </w:p>
          <w:p>
            <w:pPr>
              <w:pStyle w:val="2"/>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将外购的长玻璃管通过下料机切割成一定的尺寸，通过封底、压颈、封口等工序制作玻璃杯，根据客户要求，进行贴花，根据产量，通过电炉箱烤印，封口、粘底、磨底、清洗后，将合格品与外购的杯盖组合即为成品，包装入库。</w:t>
            </w:r>
          </w:p>
          <w:p>
            <w:pPr>
              <w:numPr>
                <w:ilvl w:val="0"/>
                <w:numId w:val="5"/>
              </w:num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产污环节</w:t>
            </w:r>
          </w:p>
          <w:p>
            <w:pPr>
              <w:pStyle w:val="2"/>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废气：主要是切割、封底、封口工序产生的液化石油气废气主要污染物是SO</w:t>
            </w:r>
            <w:r>
              <w:rPr>
                <w:rFonts w:hint="default" w:ascii="Times New Roman" w:hAnsi="Times New Roman" w:eastAsia="宋体" w:cs="Times New Roman"/>
                <w:kern w:val="0"/>
                <w:szCs w:val="24"/>
                <w:vertAlign w:val="subscript"/>
              </w:rPr>
              <w:t>2</w:t>
            </w:r>
            <w:r>
              <w:rPr>
                <w:rFonts w:hint="default" w:ascii="Times New Roman" w:hAnsi="Times New Roman" w:eastAsia="宋体" w:cs="Times New Roman"/>
                <w:kern w:val="0"/>
                <w:szCs w:val="24"/>
              </w:rPr>
              <w:t>、NO</w:t>
            </w:r>
            <w:r>
              <w:rPr>
                <w:rFonts w:hint="default" w:ascii="Times New Roman" w:hAnsi="Times New Roman" w:eastAsia="宋体" w:cs="Times New Roman"/>
                <w:kern w:val="0"/>
                <w:szCs w:val="24"/>
                <w:vertAlign w:val="subscript"/>
              </w:rPr>
              <w:t>X</w:t>
            </w:r>
            <w:r>
              <w:rPr>
                <w:rFonts w:hint="default" w:ascii="Times New Roman" w:hAnsi="Times New Roman" w:eastAsia="宋体" w:cs="Times New Roman"/>
                <w:kern w:val="0"/>
                <w:szCs w:val="24"/>
              </w:rPr>
              <w:t>、颗粒物，无组织排放。</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废水：项目部分产品生产过程中磨底、清洗工序使用水，用水量较少约20t/a，产生的废水经两级沉淀处理后循环使用，蒸发损耗，不外排。</w:t>
            </w:r>
          </w:p>
          <w:p>
            <w:pPr>
              <w:pStyle w:val="2"/>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生活废水产生量约为</w:t>
            </w:r>
            <w:r>
              <w:rPr>
                <w:rFonts w:hint="default" w:ascii="Times New Roman" w:hAnsi="Times New Roman" w:eastAsia="宋体" w:cs="Times New Roman"/>
                <w:kern w:val="0"/>
                <w:szCs w:val="24"/>
                <w:lang w:eastAsia="zh-CN"/>
              </w:rPr>
              <w:t>235.2</w:t>
            </w:r>
            <w:r>
              <w:rPr>
                <w:rFonts w:hint="default" w:ascii="Times New Roman" w:hAnsi="Times New Roman" w:eastAsia="宋体" w:cs="Times New Roman"/>
                <w:kern w:val="0"/>
                <w:szCs w:val="24"/>
              </w:rPr>
              <w:t>t/a，经旱厕沤肥，由附近居民定期清运用作农肥。</w:t>
            </w:r>
          </w:p>
          <w:p>
            <w:pPr>
              <w:pStyle w:val="2"/>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固废：主要是切割工序产生的下脚料（产量8t/a），检验工序产生的不合格产品（2t/a），下脚料和不合格产品外售处理；</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沉淀池中产生的沉渣主要成分是抛光粉、玻璃碴（0.05t/a），为一般固废，装垃圾桶由环卫部门清运；</w:t>
            </w:r>
          </w:p>
          <w:p>
            <w:pPr>
              <w:pStyle w:val="2"/>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生活垃圾产生量以0.5kg/人/天计，全天以</w:t>
            </w:r>
            <w:r>
              <w:rPr>
                <w:rFonts w:hint="default" w:ascii="Times New Roman" w:hAnsi="Times New Roman" w:eastAsia="宋体" w:cs="Times New Roman"/>
                <w:kern w:val="0"/>
                <w:szCs w:val="24"/>
                <w:lang w:val="en-US" w:eastAsia="zh-CN"/>
              </w:rPr>
              <w:t>30</w:t>
            </w:r>
            <w:r>
              <w:rPr>
                <w:rFonts w:hint="default" w:ascii="Times New Roman" w:hAnsi="Times New Roman" w:eastAsia="宋体" w:cs="Times New Roman"/>
                <w:kern w:val="0"/>
                <w:szCs w:val="24"/>
              </w:rPr>
              <w:t>人计，年运行280天，年总产生量为</w:t>
            </w:r>
            <w:r>
              <w:rPr>
                <w:rFonts w:hint="default" w:ascii="Times New Roman" w:hAnsi="Times New Roman" w:eastAsia="宋体" w:cs="Times New Roman"/>
                <w:kern w:val="0"/>
                <w:szCs w:val="24"/>
                <w:lang w:val="en-US" w:eastAsia="zh-CN"/>
              </w:rPr>
              <w:t>4.2</w:t>
            </w:r>
            <w:r>
              <w:rPr>
                <w:rFonts w:hint="default" w:ascii="Times New Roman" w:hAnsi="Times New Roman" w:eastAsia="宋体" w:cs="Times New Roman"/>
                <w:kern w:val="0"/>
                <w:szCs w:val="24"/>
              </w:rPr>
              <w:t>t/a，集中收集，由环卫部门定期清运。旱厕粪便由附近居民定期清运用作农肥。</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噪声：主要是切割、封底、压颈、封口工序因机械运转产生的机械噪声，噪声源强约70~90dB；该厂的各机械设备均摆放在封闭的车间内。</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三、</w:t>
            </w:r>
            <w:r>
              <w:rPr>
                <w:rFonts w:hint="default" w:ascii="Times New Roman" w:hAnsi="Times New Roman" w:eastAsia="宋体" w:cs="Times New Roman"/>
                <w:kern w:val="0"/>
                <w:sz w:val="24"/>
                <w:lang w:eastAsia="zh-CN"/>
              </w:rPr>
              <w:t>现有项目</w:t>
            </w:r>
            <w:r>
              <w:rPr>
                <w:rFonts w:hint="default" w:ascii="Times New Roman" w:hAnsi="Times New Roman" w:eastAsia="宋体" w:cs="Times New Roman"/>
                <w:kern w:val="0"/>
                <w:sz w:val="24"/>
              </w:rPr>
              <w:t>产排污情况</w:t>
            </w:r>
          </w:p>
          <w:p>
            <w:pPr>
              <w:pStyle w:val="2"/>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1、废气</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主要是切割、封底、封口工序产生的天然气废气主要污染物是SO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、NOx、颗粒物，无组织排放</w:t>
            </w:r>
            <w:r>
              <w:rPr>
                <w:rFonts w:hint="default" w:ascii="Times New Roman" w:hAnsi="Times New Roman" w:eastAsia="宋体" w:cs="Times New Roman"/>
                <w:kern w:val="0"/>
                <w:sz w:val="24"/>
                <w:lang w:eastAsia="zh-CN"/>
              </w:rPr>
              <w:t>，印花工序产生的</w:t>
            </w:r>
            <w:r>
              <w:rPr>
                <w:rFonts w:hint="default" w:ascii="Times New Roman" w:hAnsi="Times New Roman" w:eastAsia="宋体" w:cs="Times New Roman"/>
                <w:kern w:val="0"/>
                <w:sz w:val="24"/>
                <w:lang w:val="en-US" w:eastAsia="zh-CN"/>
              </w:rPr>
              <w:t>VOCs</w:t>
            </w:r>
            <w:r>
              <w:rPr>
                <w:rFonts w:hint="default" w:ascii="Times New Roman" w:hAnsi="Times New Roman" w:eastAsia="宋体" w:cs="Times New Roman"/>
                <w:kern w:val="0"/>
                <w:sz w:val="24"/>
              </w:rPr>
              <w:t>。</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szCs w:val="24"/>
                <w:highlight w:val="none"/>
                <w:lang w:val="en-US" w:eastAsia="zh-CN"/>
              </w:rPr>
              <w:t>为了更好地处理废气，企业后期在印花工序电炉箱处加设集气罩收集入活性炭处理后从15m高排气筒P1排出。根据企业提供数据，废气处理设备年工作时间为2240h。</w:t>
            </w:r>
          </w:p>
          <w:p>
            <w:pPr>
              <w:spacing w:line="360" w:lineRule="auto"/>
              <w:ind w:firstLine="480" w:firstLineChars="200"/>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lang w:eastAsia="zh-CN"/>
              </w:rPr>
              <w:t>根据山东鼎力环境检测有限公司</w:t>
            </w:r>
            <w:r>
              <w:rPr>
                <w:rFonts w:hint="default" w:ascii="Times New Roman" w:hAnsi="Times New Roman" w:eastAsia="宋体" w:cs="Times New Roman"/>
                <w:kern w:val="0"/>
                <w:sz w:val="24"/>
              </w:rPr>
              <w:t>于20</w:t>
            </w:r>
            <w:r>
              <w:rPr>
                <w:rFonts w:hint="default" w:ascii="Times New Roman" w:hAnsi="Times New Roman" w:eastAsia="宋体" w:cs="Times New Roman"/>
                <w:kern w:val="0"/>
                <w:sz w:val="24"/>
                <w:lang w:val="en-US" w:eastAsia="zh-CN"/>
              </w:rPr>
              <w:t>21</w:t>
            </w:r>
            <w:r>
              <w:rPr>
                <w:rFonts w:hint="default" w:ascii="Times New Roman" w:hAnsi="Times New Roman" w:eastAsia="宋体" w:cs="Times New Roman"/>
                <w:kern w:val="0"/>
                <w:sz w:val="24"/>
              </w:rPr>
              <w:t>年</w:t>
            </w:r>
            <w:r>
              <w:rPr>
                <w:rFonts w:hint="default" w:ascii="Times New Roman" w:hAnsi="Times New Roman" w:eastAsia="宋体" w:cs="Times New Roman"/>
                <w:kern w:val="0"/>
                <w:sz w:val="24"/>
                <w:lang w:val="en-US" w:eastAsia="zh-CN"/>
              </w:rPr>
              <w:t>4</w:t>
            </w:r>
            <w:r>
              <w:rPr>
                <w:rFonts w:hint="default" w:ascii="Times New Roman" w:hAnsi="Times New Roman" w:eastAsia="宋体" w:cs="Times New Roman"/>
                <w:kern w:val="0"/>
                <w:sz w:val="24"/>
              </w:rPr>
              <w:t>月</w:t>
            </w:r>
            <w:r>
              <w:rPr>
                <w:rFonts w:hint="default" w:ascii="Times New Roman" w:hAnsi="Times New Roman" w:eastAsia="宋体" w:cs="Times New Roman"/>
                <w:kern w:val="0"/>
                <w:sz w:val="24"/>
                <w:lang w:val="en-US" w:eastAsia="zh-CN"/>
              </w:rPr>
              <w:t>22</w:t>
            </w:r>
            <w:r>
              <w:rPr>
                <w:rFonts w:hint="default" w:ascii="Times New Roman" w:hAnsi="Times New Roman" w:eastAsia="宋体" w:cs="Times New Roman"/>
                <w:kern w:val="0"/>
                <w:sz w:val="24"/>
              </w:rPr>
              <w:t>日～</w:t>
            </w:r>
            <w:r>
              <w:rPr>
                <w:rFonts w:hint="default" w:ascii="Times New Roman" w:hAnsi="Times New Roman" w:eastAsia="宋体" w:cs="Times New Roman"/>
                <w:kern w:val="0"/>
                <w:sz w:val="24"/>
                <w:lang w:val="en-US" w:eastAsia="zh-CN"/>
              </w:rPr>
              <w:t>4</w:t>
            </w:r>
            <w:r>
              <w:rPr>
                <w:rFonts w:hint="default" w:ascii="Times New Roman" w:hAnsi="Times New Roman" w:eastAsia="宋体" w:cs="Times New Roman"/>
                <w:kern w:val="0"/>
                <w:sz w:val="24"/>
              </w:rPr>
              <w:t>月</w:t>
            </w:r>
            <w:r>
              <w:rPr>
                <w:rFonts w:hint="default" w:ascii="Times New Roman" w:hAnsi="Times New Roman" w:eastAsia="宋体" w:cs="Times New Roman"/>
                <w:kern w:val="0"/>
                <w:sz w:val="24"/>
                <w:lang w:val="en-US" w:eastAsia="zh-CN"/>
              </w:rPr>
              <w:t>2</w:t>
            </w:r>
            <w:r>
              <w:rPr>
                <w:rFonts w:hint="default" w:ascii="Times New Roman" w:hAnsi="Times New Roman" w:eastAsia="宋体" w:cs="Times New Roman"/>
                <w:kern w:val="0"/>
                <w:sz w:val="24"/>
              </w:rPr>
              <w:t>3日对</w:t>
            </w:r>
            <w:r>
              <w:rPr>
                <w:rFonts w:hint="eastAsia" w:ascii="Times New Roman" w:hAnsi="Times New Roman" w:eastAsia="宋体" w:cs="Times New Roman"/>
                <w:kern w:val="0"/>
                <w:sz w:val="24"/>
                <w:lang w:eastAsia="zh-CN"/>
              </w:rPr>
              <w:t>现有</w:t>
            </w:r>
            <w:r>
              <w:rPr>
                <w:rFonts w:hint="default" w:ascii="Times New Roman" w:hAnsi="Times New Roman" w:eastAsia="宋体" w:cs="Times New Roman"/>
                <w:kern w:val="0"/>
                <w:sz w:val="24"/>
              </w:rPr>
              <w:t>项目</w:t>
            </w:r>
            <w:r>
              <w:rPr>
                <w:rFonts w:hint="default" w:ascii="Times New Roman" w:hAnsi="Times New Roman" w:eastAsia="宋体" w:cs="Times New Roman"/>
                <w:kern w:val="0"/>
                <w:sz w:val="24"/>
                <w:lang w:eastAsia="zh-CN"/>
              </w:rPr>
              <w:t>有组织</w:t>
            </w:r>
            <w:r>
              <w:rPr>
                <w:rFonts w:hint="default" w:ascii="Times New Roman" w:hAnsi="Times New Roman" w:eastAsia="宋体" w:cs="Times New Roman"/>
                <w:kern w:val="0"/>
                <w:sz w:val="24"/>
                <w:lang w:val="en-US" w:eastAsia="zh-CN"/>
              </w:rPr>
              <w:t>VOCs废气及</w:t>
            </w:r>
            <w:r>
              <w:rPr>
                <w:rFonts w:hint="default" w:ascii="Times New Roman" w:hAnsi="Times New Roman" w:eastAsia="宋体" w:cs="Times New Roman"/>
                <w:kern w:val="0"/>
                <w:sz w:val="24"/>
              </w:rPr>
              <w:t>厂界无组织SO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、NOx、颗粒物</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lang w:val="en-US" w:eastAsia="zh-CN"/>
              </w:rPr>
              <w:t>VOCs</w:t>
            </w:r>
            <w:r>
              <w:rPr>
                <w:rFonts w:hint="default" w:ascii="Times New Roman" w:hAnsi="Times New Roman" w:eastAsia="宋体" w:cs="Times New Roman"/>
                <w:kern w:val="0"/>
                <w:sz w:val="24"/>
              </w:rPr>
              <w:t>浓度进行了</w:t>
            </w:r>
            <w:r>
              <w:rPr>
                <w:rFonts w:hint="default" w:ascii="Times New Roman" w:hAnsi="Times New Roman" w:eastAsia="宋体" w:cs="Times New Roman"/>
                <w:kern w:val="0"/>
                <w:sz w:val="24"/>
                <w:lang w:eastAsia="zh-CN"/>
              </w:rPr>
              <w:t>例行</w:t>
            </w:r>
            <w:r>
              <w:rPr>
                <w:rFonts w:hint="default" w:ascii="Times New Roman" w:hAnsi="Times New Roman" w:eastAsia="宋体" w:cs="Times New Roman"/>
                <w:kern w:val="0"/>
                <w:sz w:val="24"/>
              </w:rPr>
              <w:t>监测，监测期间</w:t>
            </w:r>
            <w:r>
              <w:rPr>
                <w:rFonts w:hint="eastAsia" w:ascii="Times New Roman" w:hAnsi="Times New Roman" w:eastAsia="宋体" w:cs="Times New Roman"/>
                <w:kern w:val="0"/>
                <w:sz w:val="24"/>
                <w:lang w:eastAsia="zh-CN"/>
              </w:rPr>
              <w:t>现有</w:t>
            </w:r>
            <w:r>
              <w:rPr>
                <w:rFonts w:hint="default" w:ascii="Times New Roman" w:hAnsi="Times New Roman" w:eastAsia="宋体" w:cs="Times New Roman"/>
                <w:kern w:val="0"/>
                <w:sz w:val="24"/>
              </w:rPr>
              <w:t>项目处于正常生产状态，工况稳定、生产负荷已完全达到设计生产能力。</w:t>
            </w:r>
            <w:r>
              <w:rPr>
                <w:rFonts w:hint="eastAsia" w:ascii="Times New Roman" w:hAnsi="Times New Roman" w:eastAsia="宋体" w:cs="Times New Roman"/>
                <w:kern w:val="0"/>
                <w:sz w:val="24"/>
                <w:lang w:eastAsia="zh-CN"/>
              </w:rPr>
              <w:t>现有</w:t>
            </w:r>
            <w:r>
              <w:rPr>
                <w:rFonts w:hint="default" w:ascii="Times New Roman" w:hAnsi="Times New Roman" w:eastAsia="宋体" w:cs="Times New Roman"/>
                <w:kern w:val="0"/>
                <w:sz w:val="24"/>
              </w:rPr>
              <w:t>项目</w:t>
            </w:r>
            <w:r>
              <w:rPr>
                <w:rFonts w:hint="default" w:ascii="Times New Roman" w:hAnsi="Times New Roman" w:eastAsia="宋体" w:cs="Times New Roman"/>
                <w:kern w:val="0"/>
                <w:sz w:val="24"/>
                <w:lang w:eastAsia="zh-CN"/>
              </w:rPr>
              <w:t>有组织</w:t>
            </w:r>
            <w:r>
              <w:rPr>
                <w:rFonts w:hint="default" w:ascii="Times New Roman" w:hAnsi="Times New Roman" w:eastAsia="宋体" w:cs="Times New Roman"/>
                <w:kern w:val="0"/>
                <w:sz w:val="24"/>
                <w:lang w:val="en-US" w:eastAsia="zh-CN"/>
              </w:rPr>
              <w:t>VOCs废气、</w:t>
            </w:r>
            <w:r>
              <w:rPr>
                <w:rFonts w:hint="default" w:ascii="Times New Roman" w:hAnsi="Times New Roman" w:eastAsia="宋体" w:cs="Times New Roman"/>
                <w:kern w:val="0"/>
                <w:sz w:val="24"/>
              </w:rPr>
              <w:t>无组织SO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、NOx、颗粒物</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lang w:val="en-US" w:eastAsia="zh-CN"/>
              </w:rPr>
              <w:t>VOCs</w:t>
            </w:r>
            <w:r>
              <w:rPr>
                <w:rFonts w:hint="default" w:ascii="Times New Roman" w:hAnsi="Times New Roman" w:eastAsia="宋体" w:cs="Times New Roman"/>
                <w:kern w:val="0"/>
                <w:sz w:val="24"/>
              </w:rPr>
              <w:t>监测结果见下表</w:t>
            </w:r>
            <w:r>
              <w:rPr>
                <w:rFonts w:hint="default" w:ascii="Times New Roman" w:hAnsi="Times New Roman" w:eastAsia="宋体" w:cs="Times New Roman"/>
                <w:kern w:val="0"/>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kern w:val="0"/>
                <w:sz w:val="24"/>
                <w:lang w:val="en-US" w:eastAsia="zh-CN"/>
              </w:rPr>
            </w:pPr>
            <w:r>
              <w:rPr>
                <w:rFonts w:hint="default" w:ascii="Times New Roman" w:hAnsi="Times New Roman" w:eastAsia="宋体" w:cs="Times New Roman"/>
                <w:b/>
                <w:bCs/>
                <w:kern w:val="0"/>
                <w:sz w:val="24"/>
                <w:lang w:eastAsia="zh-CN"/>
              </w:rPr>
              <w:t>表</w:t>
            </w:r>
            <w:r>
              <w:rPr>
                <w:rFonts w:hint="default" w:ascii="Times New Roman" w:hAnsi="Times New Roman" w:eastAsia="宋体" w:cs="Times New Roman"/>
                <w:b/>
                <w:bCs/>
                <w:kern w:val="0"/>
                <w:sz w:val="24"/>
                <w:lang w:val="en-US" w:eastAsia="zh-CN"/>
              </w:rPr>
              <w:t>2-</w:t>
            </w:r>
            <w:r>
              <w:rPr>
                <w:rFonts w:hint="eastAsia" w:cs="Times New Roman"/>
                <w:b/>
                <w:bCs/>
                <w:kern w:val="0"/>
                <w:sz w:val="24"/>
                <w:lang w:val="en-US" w:eastAsia="zh-CN"/>
              </w:rPr>
              <w:t>8</w:t>
            </w:r>
            <w:r>
              <w:rPr>
                <w:rFonts w:hint="default" w:ascii="Times New Roman" w:hAnsi="Times New Roman" w:eastAsia="宋体" w:cs="Times New Roman"/>
                <w:b/>
                <w:bCs/>
                <w:kern w:val="0"/>
                <w:sz w:val="24"/>
                <w:lang w:val="en-US" w:eastAsia="zh-CN"/>
              </w:rPr>
              <w:t xml:space="preserve"> 有组织废气检测结果</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145"/>
              <w:gridCol w:w="795"/>
              <w:gridCol w:w="1740"/>
              <w:gridCol w:w="210"/>
              <w:gridCol w:w="555"/>
              <w:gridCol w:w="959"/>
              <w:gridCol w:w="60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采样点位</w:t>
                  </w:r>
                </w:p>
              </w:tc>
              <w:tc>
                <w:tcPr>
                  <w:tcW w:w="3077" w:type="pct"/>
                  <w:gridSpan w:val="6"/>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DA001排气筒进口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测点截面积</w:t>
                  </w:r>
                </w:p>
              </w:tc>
              <w:tc>
                <w:tcPr>
                  <w:tcW w:w="493"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0.1130</w:t>
                  </w:r>
                </w:p>
              </w:tc>
              <w:tc>
                <w:tcPr>
                  <w:tcW w:w="1209"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排气筒高度（</w:t>
                  </w:r>
                  <w:r>
                    <w:rPr>
                      <w:rFonts w:hint="default" w:ascii="Times New Roman" w:hAnsi="Times New Roman" w:eastAsia="宋体" w:cs="Times New Roman"/>
                      <w:kern w:val="0"/>
                      <w:sz w:val="21"/>
                      <w:szCs w:val="21"/>
                      <w:vertAlign w:val="baseline"/>
                      <w:lang w:val="en-US" w:eastAsia="zh-CN"/>
                    </w:rPr>
                    <w:t>m</w:t>
                  </w:r>
                  <w:r>
                    <w:rPr>
                      <w:rFonts w:hint="default" w:ascii="Times New Roman" w:hAnsi="Times New Roman" w:eastAsia="宋体" w:cs="Times New Roman"/>
                      <w:kern w:val="0"/>
                      <w:sz w:val="21"/>
                      <w:szCs w:val="21"/>
                      <w:vertAlign w:val="baseline"/>
                      <w:lang w:eastAsia="zh-CN"/>
                    </w:rPr>
                    <w:t>）</w:t>
                  </w:r>
                </w:p>
              </w:tc>
              <w:tc>
                <w:tcPr>
                  <w:tcW w:w="344"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p>
              </w:tc>
              <w:tc>
                <w:tcPr>
                  <w:tcW w:w="967"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废气处理设施</w:t>
                  </w:r>
                </w:p>
              </w:tc>
              <w:tc>
                <w:tcPr>
                  <w:tcW w:w="556"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eastAsia" w:ascii="Times New Roman" w:cs="Times New Roman"/>
                      <w:kern w:val="0"/>
                      <w:sz w:val="21"/>
                      <w:szCs w:val="21"/>
                      <w:vertAlign w:val="baseline"/>
                      <w:lang w:val="en-US" w:eastAsia="zh-CN"/>
                    </w:rPr>
                    <w:t>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采样时间</w:t>
                  </w:r>
                </w:p>
              </w:tc>
              <w:tc>
                <w:tcPr>
                  <w:tcW w:w="3077" w:type="pct"/>
                  <w:gridSpan w:val="6"/>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2021年04月22日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采样频次</w:t>
                  </w:r>
                </w:p>
              </w:tc>
              <w:tc>
                <w:tcPr>
                  <w:tcW w:w="1079" w:type="pct"/>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第一次</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第二次</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烟气温度（℃）</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18</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16</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eastAsia="zh-CN"/>
                    </w:rPr>
                    <w:t>标干流量</w:t>
                  </w:r>
                  <w:r>
                    <w:rPr>
                      <w:rFonts w:hint="default" w:ascii="Times New Roman" w:hAnsi="Times New Roman" w:eastAsia="宋体" w:cs="Times New Roman"/>
                      <w:kern w:val="0"/>
                      <w:sz w:val="21"/>
                      <w:szCs w:val="21"/>
                      <w:vertAlign w:val="baseline"/>
                      <w:lang w:val="en-US" w:eastAsia="zh-CN"/>
                    </w:rPr>
                    <w:t>(Nm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vertAlign w:val="baseline"/>
                      <w:lang w:val="en-US" w:eastAsia="zh-CN"/>
                    </w:rPr>
                    <w:t>/h)</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539</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545</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restar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VOCs（以非甲烷总烃计）</w:t>
                  </w:r>
                </w:p>
              </w:tc>
              <w:tc>
                <w:tcPr>
                  <w:tcW w:w="1202"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样品编号</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2104159Y001</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val="en-US"/>
                    </w:rPr>
                  </w:pPr>
                  <w:r>
                    <w:rPr>
                      <w:rFonts w:hint="default" w:ascii="Times New Roman" w:hAnsi="Times New Roman" w:eastAsia="宋体" w:cs="Times New Roman"/>
                      <w:kern w:val="0"/>
                      <w:sz w:val="21"/>
                      <w:szCs w:val="21"/>
                      <w:vertAlign w:val="baseline"/>
                      <w:lang w:val="en-US" w:eastAsia="zh-CN"/>
                    </w:rPr>
                    <w:t>2104159Y002</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val="en-US"/>
                    </w:rPr>
                  </w:pPr>
                  <w:r>
                    <w:rPr>
                      <w:rFonts w:hint="default" w:ascii="Times New Roman" w:hAnsi="Times New Roman" w:eastAsia="宋体" w:cs="Times New Roman"/>
                      <w:kern w:val="0"/>
                      <w:sz w:val="21"/>
                      <w:szCs w:val="21"/>
                      <w:vertAlign w:val="baseline"/>
                      <w:lang w:val="en-US" w:eastAsia="zh-CN"/>
                    </w:rPr>
                    <w:t>2104159Y003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continue"/>
                  <w:vAlign w:val="center"/>
                </w:tcPr>
                <w:p>
                  <w:pPr>
                    <w:pStyle w:val="24"/>
                    <w:jc w:val="center"/>
                    <w:rPr>
                      <w:rFonts w:hint="default" w:ascii="Times New Roman" w:hAnsi="Times New Roman" w:eastAsia="宋体" w:cs="Times New Roman"/>
                      <w:kern w:val="0"/>
                      <w:sz w:val="21"/>
                      <w:szCs w:val="21"/>
                      <w:vertAlign w:val="baseline"/>
                    </w:rPr>
                  </w:pPr>
                </w:p>
              </w:tc>
              <w:tc>
                <w:tcPr>
                  <w:tcW w:w="1202"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实测浓度（</w:t>
                  </w:r>
                  <w:r>
                    <w:rPr>
                      <w:rFonts w:hint="default" w:ascii="Times New Roman" w:hAnsi="Times New Roman" w:eastAsia="宋体" w:cs="Times New Roman"/>
                      <w:kern w:val="0"/>
                      <w:sz w:val="21"/>
                      <w:szCs w:val="21"/>
                      <w:vertAlign w:val="baseline"/>
                      <w:lang w:val="en-US" w:eastAsia="zh-CN"/>
                    </w:rPr>
                    <w:t>mg/m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vertAlign w:val="baseline"/>
                      <w:lang w:eastAsia="zh-CN"/>
                    </w:rPr>
                    <w:t>）</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13.7</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17.3</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continue"/>
                  <w:vAlign w:val="center"/>
                </w:tcPr>
                <w:p>
                  <w:pPr>
                    <w:pStyle w:val="24"/>
                    <w:jc w:val="center"/>
                    <w:rPr>
                      <w:rFonts w:hint="default" w:ascii="Times New Roman" w:hAnsi="Times New Roman" w:eastAsia="宋体" w:cs="Times New Roman"/>
                      <w:kern w:val="0"/>
                      <w:sz w:val="21"/>
                      <w:szCs w:val="21"/>
                      <w:vertAlign w:val="baseline"/>
                    </w:rPr>
                  </w:pPr>
                </w:p>
              </w:tc>
              <w:tc>
                <w:tcPr>
                  <w:tcW w:w="1202"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排放速率（</w:t>
                  </w:r>
                  <w:r>
                    <w:rPr>
                      <w:rFonts w:hint="default" w:ascii="Times New Roman" w:hAnsi="Times New Roman" w:eastAsia="宋体" w:cs="Times New Roman"/>
                      <w:kern w:val="0"/>
                      <w:sz w:val="21"/>
                      <w:szCs w:val="21"/>
                      <w:vertAlign w:val="baseline"/>
                      <w:lang w:val="en-US" w:eastAsia="zh-CN"/>
                    </w:rPr>
                    <w:t>kg/h</w:t>
                  </w:r>
                  <w:r>
                    <w:rPr>
                      <w:rFonts w:hint="default" w:ascii="Times New Roman" w:hAnsi="Times New Roman" w:eastAsia="宋体" w:cs="Times New Roman"/>
                      <w:kern w:val="0"/>
                      <w:sz w:val="21"/>
                      <w:szCs w:val="21"/>
                      <w:vertAlign w:val="baseline"/>
                      <w:lang w:eastAsia="zh-CN"/>
                    </w:rPr>
                    <w:t>）</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7.38×10</w:t>
                  </w:r>
                  <w:r>
                    <w:rPr>
                      <w:rFonts w:hint="default" w:ascii="Times New Roman" w:hAnsi="Times New Roman" w:eastAsia="宋体" w:cs="Times New Roman"/>
                      <w:kern w:val="0"/>
                      <w:sz w:val="21"/>
                      <w:szCs w:val="21"/>
                      <w:vertAlign w:val="superscript"/>
                      <w:lang w:val="en-US" w:eastAsia="zh-CN"/>
                    </w:rPr>
                    <w:t>-3</w:t>
                  </w:r>
                </w:p>
              </w:tc>
              <w:tc>
                <w:tcPr>
                  <w:tcW w:w="1069" w:type="pct"/>
                  <w:gridSpan w:val="3"/>
                  <w:vAlign w:val="center"/>
                </w:tcPr>
                <w:p>
                  <w:pPr>
                    <w:jc w:val="center"/>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lang w:val="en-US" w:eastAsia="zh-CN"/>
                    </w:rPr>
                    <w:t>9.43×10</w:t>
                  </w:r>
                  <w:r>
                    <w:rPr>
                      <w:rFonts w:hint="default" w:ascii="Times New Roman" w:hAnsi="Times New Roman" w:eastAsia="宋体" w:cs="Times New Roman"/>
                      <w:kern w:val="0"/>
                      <w:sz w:val="21"/>
                      <w:szCs w:val="21"/>
                      <w:vertAlign w:val="superscript"/>
                      <w:lang w:val="en-US" w:eastAsia="zh-CN"/>
                    </w:rPr>
                    <w:t>-3</w:t>
                  </w:r>
                </w:p>
              </w:tc>
              <w:tc>
                <w:tcPr>
                  <w:tcW w:w="928" w:type="pct"/>
                  <w:gridSpan w:val="2"/>
                  <w:vAlign w:val="center"/>
                </w:tcPr>
                <w:p>
                  <w:pPr>
                    <w:jc w:val="center"/>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lang w:val="en-US" w:eastAsia="zh-CN"/>
                    </w:rPr>
                    <w:t>7.70×10</w:t>
                  </w:r>
                  <w:r>
                    <w:rPr>
                      <w:rFonts w:hint="default" w:ascii="Times New Roman" w:hAnsi="Times New Roman" w:eastAsia="宋体"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备注</w:t>
                  </w:r>
                </w:p>
              </w:tc>
              <w:tc>
                <w:tcPr>
                  <w:tcW w:w="3077" w:type="pct"/>
                  <w:gridSpan w:val="6"/>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采样点位</w:t>
                  </w:r>
                </w:p>
              </w:tc>
              <w:tc>
                <w:tcPr>
                  <w:tcW w:w="3077" w:type="pct"/>
                  <w:gridSpan w:val="6"/>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DA001排气筒出口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测点截面积</w:t>
                  </w:r>
                </w:p>
              </w:tc>
              <w:tc>
                <w:tcPr>
                  <w:tcW w:w="493"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0.0314</w:t>
                  </w:r>
                </w:p>
              </w:tc>
              <w:tc>
                <w:tcPr>
                  <w:tcW w:w="1209"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排气筒高度（</w:t>
                  </w:r>
                  <w:r>
                    <w:rPr>
                      <w:rFonts w:hint="default" w:ascii="Times New Roman" w:hAnsi="Times New Roman" w:eastAsia="宋体" w:cs="Times New Roman"/>
                      <w:kern w:val="0"/>
                      <w:sz w:val="21"/>
                      <w:szCs w:val="21"/>
                      <w:vertAlign w:val="baseline"/>
                      <w:lang w:val="en-US" w:eastAsia="zh-CN"/>
                    </w:rPr>
                    <w:t>m</w:t>
                  </w:r>
                  <w:r>
                    <w:rPr>
                      <w:rFonts w:hint="default" w:ascii="Times New Roman" w:hAnsi="Times New Roman" w:eastAsia="宋体" w:cs="Times New Roman"/>
                      <w:kern w:val="0"/>
                      <w:sz w:val="21"/>
                      <w:szCs w:val="21"/>
                      <w:vertAlign w:val="baseline"/>
                      <w:lang w:eastAsia="zh-CN"/>
                    </w:rPr>
                    <w:t>）</w:t>
                  </w:r>
                </w:p>
              </w:tc>
              <w:tc>
                <w:tcPr>
                  <w:tcW w:w="344"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15</w:t>
                  </w:r>
                </w:p>
              </w:tc>
              <w:tc>
                <w:tcPr>
                  <w:tcW w:w="967"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废气处理设施</w:t>
                  </w:r>
                </w:p>
              </w:tc>
              <w:tc>
                <w:tcPr>
                  <w:tcW w:w="556"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采样时间</w:t>
                  </w:r>
                </w:p>
              </w:tc>
              <w:tc>
                <w:tcPr>
                  <w:tcW w:w="3077" w:type="pct"/>
                  <w:gridSpan w:val="6"/>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2021年04月22日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采样频次</w:t>
                  </w:r>
                </w:p>
              </w:tc>
              <w:tc>
                <w:tcPr>
                  <w:tcW w:w="1079" w:type="pct"/>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第一次</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第二次</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烟气温度（℃）</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21</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20</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eastAsia="zh-CN"/>
                    </w:rPr>
                    <w:t>标干流量</w:t>
                  </w:r>
                  <w:r>
                    <w:rPr>
                      <w:rFonts w:hint="default" w:ascii="Times New Roman" w:hAnsi="Times New Roman" w:eastAsia="宋体" w:cs="Times New Roman"/>
                      <w:kern w:val="0"/>
                      <w:sz w:val="21"/>
                      <w:szCs w:val="21"/>
                      <w:vertAlign w:val="baseline"/>
                      <w:lang w:val="en-US" w:eastAsia="zh-CN"/>
                    </w:rPr>
                    <w:t>(Nm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vertAlign w:val="baseline"/>
                      <w:lang w:val="en-US" w:eastAsia="zh-CN"/>
                    </w:rPr>
                    <w:t>/h)</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1211</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1205</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restar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VOCs（以非甲烷总烃计）</w:t>
                  </w:r>
                </w:p>
              </w:tc>
              <w:tc>
                <w:tcPr>
                  <w:tcW w:w="1202"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样品编号</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2104159Y004</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val="en-US"/>
                    </w:rPr>
                  </w:pPr>
                  <w:r>
                    <w:rPr>
                      <w:rFonts w:hint="default" w:ascii="Times New Roman" w:hAnsi="Times New Roman" w:eastAsia="宋体" w:cs="Times New Roman"/>
                      <w:kern w:val="0"/>
                      <w:sz w:val="21"/>
                      <w:szCs w:val="21"/>
                      <w:vertAlign w:val="baseline"/>
                      <w:lang w:val="en-US" w:eastAsia="zh-CN"/>
                    </w:rPr>
                    <w:t>2104159Y005</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val="en-US"/>
                    </w:rPr>
                  </w:pPr>
                  <w:r>
                    <w:rPr>
                      <w:rFonts w:hint="default" w:ascii="Times New Roman" w:hAnsi="Times New Roman" w:eastAsia="宋体" w:cs="Times New Roman"/>
                      <w:kern w:val="0"/>
                      <w:sz w:val="21"/>
                      <w:szCs w:val="21"/>
                      <w:vertAlign w:val="baseline"/>
                      <w:lang w:val="en-US" w:eastAsia="zh-CN"/>
                    </w:rPr>
                    <w:t>2104159Y006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continue"/>
                  <w:vAlign w:val="center"/>
                </w:tcPr>
                <w:p>
                  <w:pPr>
                    <w:pStyle w:val="24"/>
                    <w:jc w:val="center"/>
                    <w:rPr>
                      <w:rFonts w:hint="default" w:ascii="Times New Roman" w:hAnsi="Times New Roman" w:eastAsia="宋体" w:cs="Times New Roman"/>
                      <w:kern w:val="0"/>
                      <w:sz w:val="21"/>
                      <w:szCs w:val="21"/>
                      <w:vertAlign w:val="baseline"/>
                    </w:rPr>
                  </w:pPr>
                </w:p>
              </w:tc>
              <w:tc>
                <w:tcPr>
                  <w:tcW w:w="1202"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实测浓度（</w:t>
                  </w:r>
                  <w:r>
                    <w:rPr>
                      <w:rFonts w:hint="default" w:ascii="Times New Roman" w:hAnsi="Times New Roman" w:eastAsia="宋体" w:cs="Times New Roman"/>
                      <w:kern w:val="0"/>
                      <w:sz w:val="21"/>
                      <w:szCs w:val="21"/>
                      <w:vertAlign w:val="baseline"/>
                      <w:lang w:val="en-US" w:eastAsia="zh-CN"/>
                    </w:rPr>
                    <w:t>mg/m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vertAlign w:val="baseline"/>
                      <w:lang w:eastAsia="zh-CN"/>
                    </w:rPr>
                    <w:t>）</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3.71</w:t>
                  </w:r>
                </w:p>
              </w:tc>
              <w:tc>
                <w:tcPr>
                  <w:tcW w:w="1069" w:type="pct"/>
                  <w:gridSpan w:val="3"/>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3.60</w:t>
                  </w:r>
                </w:p>
              </w:tc>
              <w:tc>
                <w:tcPr>
                  <w:tcW w:w="928" w:type="pct"/>
                  <w:gridSpan w:val="2"/>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continue"/>
                  <w:vAlign w:val="center"/>
                </w:tcPr>
                <w:p>
                  <w:pPr>
                    <w:pStyle w:val="24"/>
                    <w:jc w:val="center"/>
                    <w:rPr>
                      <w:rFonts w:hint="default" w:ascii="Times New Roman" w:hAnsi="Times New Roman" w:eastAsia="宋体" w:cs="Times New Roman"/>
                      <w:kern w:val="0"/>
                      <w:sz w:val="21"/>
                      <w:szCs w:val="21"/>
                      <w:vertAlign w:val="baseline"/>
                    </w:rPr>
                  </w:pPr>
                </w:p>
              </w:tc>
              <w:tc>
                <w:tcPr>
                  <w:tcW w:w="1202" w:type="pct"/>
                  <w:gridSpan w:val="2"/>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排放速率（</w:t>
                  </w:r>
                  <w:r>
                    <w:rPr>
                      <w:rFonts w:hint="default" w:ascii="Times New Roman" w:hAnsi="Times New Roman" w:eastAsia="宋体" w:cs="Times New Roman"/>
                      <w:kern w:val="0"/>
                      <w:sz w:val="21"/>
                      <w:szCs w:val="21"/>
                      <w:vertAlign w:val="baseline"/>
                      <w:lang w:val="en-US" w:eastAsia="zh-CN"/>
                    </w:rPr>
                    <w:t>kg/h</w:t>
                  </w:r>
                  <w:r>
                    <w:rPr>
                      <w:rFonts w:hint="default" w:ascii="Times New Roman" w:hAnsi="Times New Roman" w:eastAsia="宋体" w:cs="Times New Roman"/>
                      <w:kern w:val="0"/>
                      <w:sz w:val="21"/>
                      <w:szCs w:val="21"/>
                      <w:vertAlign w:val="baseline"/>
                      <w:lang w:eastAsia="zh-CN"/>
                    </w:rPr>
                    <w:t>）</w:t>
                  </w:r>
                </w:p>
              </w:tc>
              <w:tc>
                <w:tcPr>
                  <w:tcW w:w="1079" w:type="pct"/>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4.49×10</w:t>
                  </w:r>
                  <w:r>
                    <w:rPr>
                      <w:rFonts w:hint="default" w:ascii="Times New Roman" w:hAnsi="Times New Roman" w:eastAsia="宋体" w:cs="Times New Roman"/>
                      <w:kern w:val="0"/>
                      <w:sz w:val="21"/>
                      <w:szCs w:val="21"/>
                      <w:vertAlign w:val="superscript"/>
                      <w:lang w:val="en-US" w:eastAsia="zh-CN"/>
                    </w:rPr>
                    <w:t>-3</w:t>
                  </w:r>
                </w:p>
              </w:tc>
              <w:tc>
                <w:tcPr>
                  <w:tcW w:w="1069" w:type="pct"/>
                  <w:gridSpan w:val="3"/>
                  <w:vAlign w:val="center"/>
                </w:tcPr>
                <w:p>
                  <w:pPr>
                    <w:jc w:val="center"/>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lang w:val="en-US" w:eastAsia="zh-CN"/>
                    </w:rPr>
                    <w:t>4.34×10</w:t>
                  </w:r>
                  <w:r>
                    <w:rPr>
                      <w:rFonts w:hint="default" w:ascii="Times New Roman" w:hAnsi="Times New Roman" w:eastAsia="宋体" w:cs="Times New Roman"/>
                      <w:kern w:val="0"/>
                      <w:sz w:val="21"/>
                      <w:szCs w:val="21"/>
                      <w:vertAlign w:val="superscript"/>
                      <w:lang w:val="en-US" w:eastAsia="zh-CN"/>
                    </w:rPr>
                    <w:t>-3</w:t>
                  </w:r>
                </w:p>
              </w:tc>
              <w:tc>
                <w:tcPr>
                  <w:tcW w:w="928" w:type="pct"/>
                  <w:gridSpan w:val="2"/>
                  <w:vAlign w:val="center"/>
                </w:tcPr>
                <w:p>
                  <w:pPr>
                    <w:jc w:val="center"/>
                    <w:rPr>
                      <w:rFonts w:hint="default" w:ascii="Times New Roman" w:hAnsi="Times New Roman" w:eastAsia="宋体" w:cs="Times New Roman"/>
                      <w:kern w:val="0"/>
                      <w:sz w:val="21"/>
                      <w:szCs w:val="21"/>
                      <w:vertAlign w:val="baseline"/>
                    </w:rPr>
                  </w:pPr>
                  <w:r>
                    <w:rPr>
                      <w:rFonts w:hint="default" w:ascii="Times New Roman" w:hAnsi="Times New Roman" w:eastAsia="宋体" w:cs="Times New Roman"/>
                      <w:kern w:val="0"/>
                      <w:sz w:val="21"/>
                      <w:szCs w:val="21"/>
                      <w:vertAlign w:val="baseline"/>
                      <w:lang w:val="en-US" w:eastAsia="zh-CN"/>
                    </w:rPr>
                    <w:t>4.52×10</w:t>
                  </w:r>
                  <w:r>
                    <w:rPr>
                      <w:rFonts w:hint="default" w:ascii="Times New Roman" w:hAnsi="Times New Roman" w:eastAsia="宋体" w:cs="Times New Roman"/>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2" w:type="pct"/>
                  <w:gridSpan w:val="3"/>
                  <w:vAlign w:val="center"/>
                </w:tcPr>
                <w:p>
                  <w:pPr>
                    <w:pStyle w:val="24"/>
                    <w:jc w:val="center"/>
                    <w:rPr>
                      <w:rFonts w:hint="default" w:ascii="Times New Roman" w:hAnsi="Times New Roman" w:eastAsia="宋体" w:cs="Times New Roman"/>
                      <w:kern w:val="0"/>
                      <w:sz w:val="21"/>
                      <w:szCs w:val="21"/>
                      <w:vertAlign w:val="baseline"/>
                      <w:lang w:eastAsia="zh-CN"/>
                    </w:rPr>
                  </w:pPr>
                  <w:r>
                    <w:rPr>
                      <w:rFonts w:hint="default" w:ascii="Times New Roman" w:hAnsi="Times New Roman" w:eastAsia="宋体" w:cs="Times New Roman"/>
                      <w:kern w:val="0"/>
                      <w:sz w:val="21"/>
                      <w:szCs w:val="21"/>
                      <w:vertAlign w:val="baseline"/>
                      <w:lang w:eastAsia="zh-CN"/>
                    </w:rPr>
                    <w:t>备注</w:t>
                  </w:r>
                </w:p>
              </w:tc>
              <w:tc>
                <w:tcPr>
                  <w:tcW w:w="3077" w:type="pct"/>
                  <w:gridSpan w:val="6"/>
                  <w:vAlign w:val="center"/>
                </w:tcPr>
                <w:p>
                  <w:pPr>
                    <w:pStyle w:val="24"/>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w:t>
                  </w:r>
                </w:p>
              </w:tc>
            </w:tr>
          </w:tbl>
          <w:p>
            <w:pPr>
              <w:pStyle w:val="2"/>
              <w:spacing w:after="0"/>
              <w:ind w:left="0" w:leftChars="0" w:firstLine="0" w:firstLineChars="0"/>
              <w:jc w:val="center"/>
              <w:rPr>
                <w:rFonts w:hint="default" w:ascii="Times New Roman" w:hAnsi="Times New Roman" w:eastAsia="宋体" w:cs="Times New Roman"/>
                <w:kern w:val="0"/>
                <w:szCs w:val="24"/>
              </w:rPr>
            </w:pPr>
            <w:r>
              <w:rPr>
                <w:rFonts w:hint="default" w:ascii="Times New Roman" w:hAnsi="Times New Roman" w:eastAsia="宋体" w:cs="Times New Roman"/>
                <w:b/>
                <w:bCs/>
                <w:kern w:val="0"/>
                <w:szCs w:val="24"/>
              </w:rPr>
              <w:t>表2-</w:t>
            </w:r>
            <w:r>
              <w:rPr>
                <w:rFonts w:hint="eastAsia" w:cs="Times New Roman"/>
                <w:b/>
                <w:bCs/>
                <w:kern w:val="0"/>
                <w:szCs w:val="24"/>
                <w:lang w:val="en-US" w:eastAsia="zh-CN"/>
              </w:rPr>
              <w:t>9</w:t>
            </w:r>
            <w:r>
              <w:rPr>
                <w:rFonts w:hint="default" w:ascii="Times New Roman" w:hAnsi="Times New Roman" w:eastAsia="宋体" w:cs="Times New Roman"/>
                <w:b/>
                <w:bCs/>
                <w:kern w:val="0"/>
                <w:szCs w:val="24"/>
              </w:rPr>
              <w:t xml:space="preserve"> 厂界无组织</w:t>
            </w:r>
            <w:r>
              <w:rPr>
                <w:rFonts w:hint="default" w:ascii="Times New Roman" w:hAnsi="Times New Roman" w:eastAsia="宋体" w:cs="Times New Roman"/>
                <w:b/>
                <w:bCs/>
                <w:kern w:val="0"/>
                <w:szCs w:val="24"/>
                <w:lang w:eastAsia="zh-CN"/>
              </w:rPr>
              <w:t>废气</w:t>
            </w:r>
            <w:r>
              <w:rPr>
                <w:rFonts w:hint="default" w:ascii="Times New Roman" w:hAnsi="Times New Roman" w:eastAsia="宋体" w:cs="Times New Roman"/>
                <w:b/>
                <w:bCs/>
                <w:kern w:val="0"/>
                <w:szCs w:val="24"/>
              </w:rPr>
              <w:t>监测结果</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702"/>
              <w:gridCol w:w="810"/>
              <w:gridCol w:w="1455"/>
              <w:gridCol w:w="1463"/>
              <w:gridCol w:w="140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Align w:val="center"/>
                </w:tcPr>
                <w:p>
                  <w:pPr>
                    <w:jc w:val="center"/>
                    <w:rPr>
                      <w:rFonts w:hint="default" w:ascii="Times New Roman" w:hAnsi="Times New Roman" w:eastAsia="宋体" w:cs="Times New Roman"/>
                      <w:kern w:val="0"/>
                      <w:vertAlign w:val="baseline"/>
                      <w:lang w:eastAsia="zh-CN"/>
                    </w:rPr>
                  </w:pPr>
                  <w:r>
                    <w:rPr>
                      <w:rFonts w:hint="default" w:ascii="Times New Roman" w:hAnsi="Times New Roman" w:eastAsia="宋体" w:cs="Times New Roman"/>
                      <w:kern w:val="0"/>
                      <w:vertAlign w:val="baseline"/>
                      <w:lang w:eastAsia="zh-CN"/>
                    </w:rPr>
                    <w:t>监测项目</w:t>
                  </w:r>
                </w:p>
              </w:tc>
              <w:tc>
                <w:tcPr>
                  <w:tcW w:w="435" w:type="pct"/>
                  <w:vAlign w:val="center"/>
                </w:tcPr>
                <w:p>
                  <w:pPr>
                    <w:jc w:val="center"/>
                    <w:rPr>
                      <w:rFonts w:hint="default" w:ascii="Times New Roman" w:hAnsi="Times New Roman" w:eastAsia="宋体" w:cs="Times New Roman"/>
                      <w:kern w:val="0"/>
                      <w:vertAlign w:val="baseline"/>
                      <w:lang w:eastAsia="zh-CN"/>
                    </w:rPr>
                  </w:pPr>
                  <w:r>
                    <w:rPr>
                      <w:rFonts w:hint="default" w:ascii="Times New Roman" w:hAnsi="Times New Roman" w:eastAsia="宋体" w:cs="Times New Roman"/>
                      <w:kern w:val="0"/>
                      <w:vertAlign w:val="baseline"/>
                      <w:lang w:eastAsia="zh-CN"/>
                    </w:rPr>
                    <w:t>采样时间</w:t>
                  </w:r>
                </w:p>
              </w:tc>
              <w:tc>
                <w:tcPr>
                  <w:tcW w:w="502" w:type="pct"/>
                  <w:vAlign w:val="center"/>
                </w:tcPr>
                <w:p>
                  <w:pPr>
                    <w:jc w:val="center"/>
                    <w:rPr>
                      <w:rFonts w:hint="default" w:ascii="Times New Roman" w:hAnsi="Times New Roman" w:eastAsia="宋体" w:cs="Times New Roman"/>
                      <w:kern w:val="0"/>
                      <w:vertAlign w:val="baseline"/>
                      <w:lang w:eastAsia="zh-CN"/>
                    </w:rPr>
                  </w:pPr>
                  <w:r>
                    <w:rPr>
                      <w:rFonts w:hint="default" w:ascii="Times New Roman" w:hAnsi="Times New Roman" w:eastAsia="宋体" w:cs="Times New Roman"/>
                      <w:kern w:val="0"/>
                      <w:vertAlign w:val="baseline"/>
                      <w:lang w:eastAsia="zh-CN"/>
                    </w:rPr>
                    <w:t>采样点位</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上风向</w:t>
                  </w:r>
                  <w:r>
                    <w:rPr>
                      <w:rFonts w:hint="default" w:ascii="Times New Roman" w:hAnsi="Times New Roman" w:eastAsia="宋体" w:cs="Times New Roman"/>
                      <w:kern w:val="0"/>
                      <w:vertAlign w:val="baseline"/>
                      <w:lang w:val="en-US" w:eastAsia="zh-CN"/>
                    </w:rPr>
                    <w:t>1#</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下风向</w:t>
                  </w:r>
                  <w:r>
                    <w:rPr>
                      <w:rFonts w:hint="default" w:ascii="Times New Roman" w:hAnsi="Times New Roman" w:eastAsia="宋体" w:cs="Times New Roman"/>
                      <w:kern w:val="0"/>
                      <w:vertAlign w:val="baseline"/>
                      <w:lang w:val="en-US" w:eastAsia="zh-CN"/>
                    </w:rPr>
                    <w:t>2#</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下风向</w:t>
                  </w:r>
                  <w:r>
                    <w:rPr>
                      <w:rFonts w:hint="default" w:ascii="Times New Roman" w:hAnsi="Times New Roman" w:eastAsia="宋体" w:cs="Times New Roman"/>
                      <w:kern w:val="0"/>
                      <w:vertAlign w:val="baseline"/>
                      <w:lang w:val="en-US" w:eastAsia="zh-CN"/>
                    </w:rPr>
                    <w:t>3#</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下风向</w:t>
                  </w:r>
                  <w:r>
                    <w:rPr>
                      <w:rFonts w:hint="default" w:ascii="Times New Roman" w:hAnsi="Times New Roman" w:eastAsia="宋体" w:cs="Times New Roman"/>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restart"/>
                  <w:vAlign w:val="center"/>
                </w:tcPr>
                <w:p>
                  <w:pPr>
                    <w:jc w:val="center"/>
                    <w:rPr>
                      <w:rFonts w:hint="default" w:ascii="Times New Roman" w:hAnsi="Times New Roman" w:eastAsia="宋体" w:cs="Times New Roman"/>
                      <w:kern w:val="0"/>
                      <w:vertAlign w:val="baseline"/>
                      <w:lang w:eastAsia="zh-CN"/>
                    </w:rPr>
                  </w:pPr>
                  <w:r>
                    <w:rPr>
                      <w:rFonts w:hint="default" w:ascii="Times New Roman" w:hAnsi="Times New Roman" w:eastAsia="宋体" w:cs="Times New Roman"/>
                      <w:kern w:val="0"/>
                      <w:vertAlign w:val="baseline"/>
                      <w:lang w:eastAsia="zh-CN"/>
                    </w:rPr>
                    <w:t>颗粒物（</w:t>
                  </w:r>
                  <w:r>
                    <w:rPr>
                      <w:rFonts w:hint="default" w:ascii="Times New Roman" w:hAnsi="Times New Roman" w:eastAsia="宋体" w:cs="Times New Roman"/>
                      <w:kern w:val="0"/>
                      <w:vertAlign w:val="baseline"/>
                      <w:lang w:val="en-US" w:eastAsia="zh-CN"/>
                    </w:rPr>
                    <w:t>mg/m</w:t>
                  </w:r>
                  <w:r>
                    <w:rPr>
                      <w:rFonts w:hint="default" w:ascii="Times New Roman" w:hAnsi="Times New Roman" w:eastAsia="宋体" w:cs="Times New Roman"/>
                      <w:kern w:val="0"/>
                      <w:vertAlign w:val="superscript"/>
                      <w:lang w:val="en-US" w:eastAsia="zh-CN"/>
                    </w:rPr>
                    <w:t>3</w:t>
                  </w:r>
                  <w:r>
                    <w:rPr>
                      <w:rFonts w:hint="default" w:ascii="Times New Roman" w:hAnsi="Times New Roman" w:eastAsia="宋体" w:cs="Times New Roman"/>
                      <w:kern w:val="0"/>
                      <w:vertAlign w:val="baseline"/>
                      <w:lang w:eastAsia="zh-CN"/>
                    </w:rPr>
                    <w:t>）</w:t>
                  </w:r>
                </w:p>
              </w:tc>
              <w:tc>
                <w:tcPr>
                  <w:tcW w:w="435" w:type="pct"/>
                  <w:vMerge w:val="restar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2021年04月23日</w:t>
                  </w:r>
                </w:p>
              </w:tc>
              <w:tc>
                <w:tcPr>
                  <w:tcW w:w="502" w:type="pct"/>
                  <w:vAlign w:val="center"/>
                </w:tcPr>
                <w:p>
                  <w:pPr>
                    <w:jc w:val="center"/>
                    <w:rPr>
                      <w:rFonts w:hint="default" w:ascii="Times New Roman" w:hAnsi="Times New Roman" w:eastAsia="宋体" w:cs="Times New Roman"/>
                      <w:kern w:val="0"/>
                      <w:vertAlign w:val="baseline"/>
                      <w:lang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2104159W001</w:t>
                  </w:r>
                </w:p>
              </w:tc>
              <w:tc>
                <w:tcPr>
                  <w:tcW w:w="907" w:type="pct"/>
                  <w:vAlign w:val="center"/>
                </w:tcPr>
                <w:p>
                  <w:pPr>
                    <w:jc w:val="center"/>
                    <w:rPr>
                      <w:rFonts w:hint="default" w:ascii="Times New Roman" w:hAnsi="Times New Roman" w:eastAsia="宋体" w:cs="Times New Roman"/>
                      <w:kern w:val="0"/>
                      <w:sz w:val="21"/>
                      <w:szCs w:val="24"/>
                      <w:vertAlign w:val="baseline"/>
                      <w:lang w:val="en-US" w:eastAsia="zh-CN" w:bidi="ar-SA"/>
                    </w:rPr>
                  </w:pPr>
                  <w:r>
                    <w:rPr>
                      <w:rFonts w:hint="default" w:ascii="Times New Roman" w:hAnsi="Times New Roman" w:eastAsia="宋体" w:cs="Times New Roman"/>
                      <w:kern w:val="0"/>
                      <w:vertAlign w:val="baseline"/>
                      <w:lang w:val="en-US" w:eastAsia="zh-CN"/>
                    </w:rPr>
                    <w:t>2104159W002</w:t>
                  </w:r>
                </w:p>
              </w:tc>
              <w:tc>
                <w:tcPr>
                  <w:tcW w:w="873" w:type="pct"/>
                  <w:vAlign w:val="center"/>
                </w:tcPr>
                <w:p>
                  <w:pPr>
                    <w:jc w:val="center"/>
                    <w:rPr>
                      <w:rFonts w:hint="default" w:ascii="Times New Roman" w:hAnsi="Times New Roman" w:eastAsia="宋体" w:cs="Times New Roman"/>
                      <w:kern w:val="0"/>
                      <w:sz w:val="21"/>
                      <w:szCs w:val="24"/>
                      <w:vertAlign w:val="baseline"/>
                      <w:lang w:val="en-US" w:eastAsia="zh-CN" w:bidi="ar-SA"/>
                    </w:rPr>
                  </w:pPr>
                  <w:r>
                    <w:rPr>
                      <w:rFonts w:hint="default" w:ascii="Times New Roman" w:hAnsi="Times New Roman" w:eastAsia="宋体" w:cs="Times New Roman"/>
                      <w:kern w:val="0"/>
                      <w:vertAlign w:val="baseline"/>
                      <w:lang w:val="en-US" w:eastAsia="zh-CN"/>
                    </w:rPr>
                    <w:t>2104159W003</w:t>
                  </w:r>
                </w:p>
              </w:tc>
              <w:tc>
                <w:tcPr>
                  <w:tcW w:w="873" w:type="pct"/>
                  <w:vAlign w:val="center"/>
                </w:tcPr>
                <w:p>
                  <w:pPr>
                    <w:jc w:val="center"/>
                    <w:rPr>
                      <w:rFonts w:hint="default" w:ascii="Times New Roman" w:hAnsi="Times New Roman" w:eastAsia="宋体" w:cs="Times New Roman"/>
                      <w:kern w:val="0"/>
                      <w:sz w:val="21"/>
                      <w:szCs w:val="24"/>
                      <w:vertAlign w:val="baseline"/>
                      <w:lang w:val="en-US" w:eastAsia="zh-CN" w:bidi="ar-SA"/>
                    </w:rPr>
                  </w:pPr>
                  <w:r>
                    <w:rPr>
                      <w:rFonts w:hint="default" w:ascii="Times New Roman" w:hAnsi="Times New Roman" w:eastAsia="宋体" w:cs="Times New Roman"/>
                      <w:kern w:val="0"/>
                      <w:vertAlign w:val="baseline"/>
                      <w:lang w:val="en-US" w:eastAsia="zh-CN"/>
                    </w:rPr>
                    <w:t>2104159W004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11:30</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0.287</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0.453</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0.378</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rPr>
                  </w:pPr>
                  <w:r>
                    <w:rPr>
                      <w:rFonts w:hint="default" w:ascii="Times New Roman" w:hAnsi="Times New Roman" w:eastAsia="宋体" w:cs="Times New Roman"/>
                      <w:kern w:val="0"/>
                      <w:vertAlign w:val="baseline"/>
                      <w:lang w:val="en-US" w:eastAsia="zh-CN"/>
                    </w:rPr>
                    <w:t>2104159W005</w:t>
                  </w:r>
                </w:p>
              </w:tc>
              <w:tc>
                <w:tcPr>
                  <w:tcW w:w="907" w:type="pct"/>
                  <w:vAlign w:val="center"/>
                </w:tcPr>
                <w:p>
                  <w:pPr>
                    <w:jc w:val="center"/>
                    <w:rPr>
                      <w:rFonts w:hint="default" w:ascii="Times New Roman" w:hAnsi="Times New Roman" w:eastAsia="宋体" w:cs="Times New Roman"/>
                      <w:kern w:val="0"/>
                      <w:vertAlign w:val="baseline"/>
                      <w:lang w:val="en-US"/>
                    </w:rPr>
                  </w:pPr>
                  <w:r>
                    <w:rPr>
                      <w:rFonts w:hint="default" w:ascii="Times New Roman" w:hAnsi="Times New Roman" w:eastAsia="宋体" w:cs="Times New Roman"/>
                      <w:kern w:val="0"/>
                      <w:vertAlign w:val="baseline"/>
                      <w:lang w:val="en-US" w:eastAsia="zh-CN"/>
                    </w:rPr>
                    <w:t>2104159W006</w:t>
                  </w:r>
                </w:p>
              </w:tc>
              <w:tc>
                <w:tcPr>
                  <w:tcW w:w="873" w:type="pct"/>
                  <w:vAlign w:val="center"/>
                </w:tcPr>
                <w:p>
                  <w:pPr>
                    <w:jc w:val="center"/>
                    <w:rPr>
                      <w:rFonts w:hint="default" w:ascii="Times New Roman" w:hAnsi="Times New Roman" w:eastAsia="宋体" w:cs="Times New Roman"/>
                      <w:kern w:val="0"/>
                      <w:vertAlign w:val="baseline"/>
                      <w:lang w:val="en-US"/>
                    </w:rPr>
                  </w:pPr>
                  <w:r>
                    <w:rPr>
                      <w:rFonts w:hint="default" w:ascii="Times New Roman" w:hAnsi="Times New Roman" w:eastAsia="宋体" w:cs="Times New Roman"/>
                      <w:kern w:val="0"/>
                      <w:vertAlign w:val="baseline"/>
                      <w:lang w:val="en-US" w:eastAsia="zh-CN"/>
                    </w:rPr>
                    <w:t>2104159W007</w:t>
                  </w:r>
                </w:p>
              </w:tc>
              <w:tc>
                <w:tcPr>
                  <w:tcW w:w="873" w:type="pct"/>
                  <w:vAlign w:val="center"/>
                </w:tcPr>
                <w:p>
                  <w:pPr>
                    <w:jc w:val="center"/>
                    <w:rPr>
                      <w:rFonts w:hint="default" w:ascii="Times New Roman" w:hAnsi="Times New Roman" w:eastAsia="宋体" w:cs="Times New Roman"/>
                      <w:kern w:val="0"/>
                      <w:vertAlign w:val="baseline"/>
                      <w:lang w:val="en-US"/>
                    </w:rPr>
                  </w:pPr>
                  <w:r>
                    <w:rPr>
                      <w:rFonts w:hint="default" w:ascii="Times New Roman" w:hAnsi="Times New Roman" w:eastAsia="宋体" w:cs="Times New Roman"/>
                      <w:kern w:val="0"/>
                      <w:vertAlign w:val="baseline"/>
                      <w:lang w:val="en-US" w:eastAsia="zh-CN"/>
                    </w:rPr>
                    <w:t>2104159W008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12:58</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0.310</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0.357</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0.416</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rPr>
                  </w:pPr>
                  <w:r>
                    <w:rPr>
                      <w:rFonts w:hint="default" w:ascii="Times New Roman" w:hAnsi="Times New Roman" w:eastAsia="宋体" w:cs="Times New Roman"/>
                      <w:kern w:val="0"/>
                      <w:vertAlign w:val="baseline"/>
                      <w:lang w:val="en-US" w:eastAsia="zh-CN"/>
                    </w:rPr>
                    <w:t>2104159W009</w:t>
                  </w:r>
                </w:p>
              </w:tc>
              <w:tc>
                <w:tcPr>
                  <w:tcW w:w="907" w:type="pct"/>
                  <w:vAlign w:val="center"/>
                </w:tcPr>
                <w:p>
                  <w:pPr>
                    <w:jc w:val="center"/>
                    <w:rPr>
                      <w:rFonts w:hint="default" w:ascii="Times New Roman" w:hAnsi="Times New Roman" w:eastAsia="宋体" w:cs="Times New Roman"/>
                      <w:kern w:val="0"/>
                      <w:vertAlign w:val="baseline"/>
                      <w:lang w:val="en-US"/>
                    </w:rPr>
                  </w:pPr>
                  <w:r>
                    <w:rPr>
                      <w:rFonts w:hint="default" w:ascii="Times New Roman" w:hAnsi="Times New Roman" w:eastAsia="宋体" w:cs="Times New Roman"/>
                      <w:kern w:val="0"/>
                      <w:vertAlign w:val="baseline"/>
                      <w:lang w:val="en-US" w:eastAsia="zh-CN"/>
                    </w:rPr>
                    <w:t>2104159W010</w:t>
                  </w:r>
                </w:p>
              </w:tc>
              <w:tc>
                <w:tcPr>
                  <w:tcW w:w="873" w:type="pct"/>
                  <w:vAlign w:val="center"/>
                </w:tcPr>
                <w:p>
                  <w:pPr>
                    <w:jc w:val="center"/>
                    <w:rPr>
                      <w:rFonts w:hint="default" w:ascii="Times New Roman" w:hAnsi="Times New Roman" w:eastAsia="宋体" w:cs="Times New Roman"/>
                      <w:kern w:val="0"/>
                      <w:vertAlign w:val="baseline"/>
                      <w:lang w:val="en-US"/>
                    </w:rPr>
                  </w:pPr>
                  <w:r>
                    <w:rPr>
                      <w:rFonts w:hint="default" w:ascii="Times New Roman" w:hAnsi="Times New Roman" w:eastAsia="宋体" w:cs="Times New Roman"/>
                      <w:kern w:val="0"/>
                      <w:vertAlign w:val="baseline"/>
                      <w:lang w:val="en-US" w:eastAsia="zh-CN"/>
                    </w:rPr>
                    <w:t>2104159W011</w:t>
                  </w:r>
                </w:p>
              </w:tc>
              <w:tc>
                <w:tcPr>
                  <w:tcW w:w="873" w:type="pct"/>
                  <w:vAlign w:val="center"/>
                </w:tcPr>
                <w:p>
                  <w:pPr>
                    <w:jc w:val="center"/>
                    <w:rPr>
                      <w:rFonts w:hint="default" w:ascii="Times New Roman" w:hAnsi="Times New Roman" w:eastAsia="宋体" w:cs="Times New Roman"/>
                      <w:kern w:val="0"/>
                      <w:vertAlign w:val="baseline"/>
                      <w:lang w:val="en-US"/>
                    </w:rPr>
                  </w:pPr>
                  <w:r>
                    <w:rPr>
                      <w:rFonts w:hint="default" w:ascii="Times New Roman" w:hAnsi="Times New Roman" w:eastAsia="宋体" w:cs="Times New Roman"/>
                      <w:kern w:val="0"/>
                      <w:vertAlign w:val="baseline"/>
                      <w:lang w:val="en-US" w:eastAsia="zh-CN"/>
                    </w:rPr>
                    <w:t>2104159W012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14:08</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0.282</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0.472</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0.406</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restart"/>
                  <w:vAlign w:val="center"/>
                </w:tcPr>
                <w:p>
                  <w:pPr>
                    <w:jc w:val="center"/>
                    <w:rPr>
                      <w:rFonts w:hint="default" w:ascii="Times New Roman" w:hAnsi="Times New Roman" w:eastAsia="宋体" w:cs="Times New Roman"/>
                      <w:kern w:val="0"/>
                      <w:vertAlign w:val="baseline"/>
                    </w:rPr>
                  </w:pPr>
                  <w:r>
                    <w:rPr>
                      <w:rFonts w:hint="default" w:ascii="Times New Roman" w:hAnsi="Times New Roman" w:eastAsia="宋体" w:cs="Times New Roman"/>
                      <w:kern w:val="0"/>
                      <w:vertAlign w:val="baseline"/>
                      <w:lang w:val="en-US" w:eastAsia="zh-CN"/>
                    </w:rPr>
                    <w:t>VOCs（以非甲烷总烃计）</w:t>
                  </w:r>
                  <w:r>
                    <w:rPr>
                      <w:rFonts w:hint="default" w:ascii="Times New Roman" w:hAnsi="Times New Roman" w:eastAsia="宋体" w:cs="Times New Roman"/>
                      <w:kern w:val="0"/>
                      <w:vertAlign w:val="baseline"/>
                      <w:lang w:eastAsia="zh-CN"/>
                    </w:rPr>
                    <w:t>（</w:t>
                  </w:r>
                  <w:r>
                    <w:rPr>
                      <w:rFonts w:hint="default" w:ascii="Times New Roman" w:hAnsi="Times New Roman" w:eastAsia="宋体" w:cs="Times New Roman"/>
                      <w:kern w:val="0"/>
                      <w:vertAlign w:val="baseline"/>
                      <w:lang w:val="en-US" w:eastAsia="zh-CN"/>
                    </w:rPr>
                    <w:t>mg/m</w:t>
                  </w:r>
                  <w:r>
                    <w:rPr>
                      <w:rFonts w:hint="default" w:ascii="Times New Roman" w:hAnsi="Times New Roman" w:eastAsia="宋体" w:cs="Times New Roman"/>
                      <w:kern w:val="0"/>
                      <w:vertAlign w:val="superscript"/>
                      <w:lang w:val="en-US" w:eastAsia="zh-CN"/>
                    </w:rPr>
                    <w:t>3</w:t>
                  </w:r>
                  <w:r>
                    <w:rPr>
                      <w:rFonts w:hint="default" w:ascii="Times New Roman" w:hAnsi="Times New Roman" w:eastAsia="宋体" w:cs="Times New Roman"/>
                      <w:kern w:val="0"/>
                      <w:vertAlign w:val="baseline"/>
                      <w:lang w:eastAsia="zh-CN"/>
                    </w:rPr>
                    <w:t>）</w:t>
                  </w:r>
                </w:p>
              </w:tc>
              <w:tc>
                <w:tcPr>
                  <w:tcW w:w="435" w:type="pct"/>
                  <w:vMerge w:val="restart"/>
                  <w:vAlign w:val="center"/>
                </w:tcPr>
                <w:p>
                  <w:pPr>
                    <w:jc w:val="center"/>
                    <w:rPr>
                      <w:rFonts w:hint="default" w:ascii="Times New Roman" w:hAnsi="Times New Roman" w:eastAsia="宋体" w:cs="Times New Roman"/>
                      <w:kern w:val="0"/>
                      <w:vertAlign w:val="baseline"/>
                    </w:rPr>
                  </w:pPr>
                  <w:r>
                    <w:rPr>
                      <w:rFonts w:hint="default" w:ascii="Times New Roman" w:hAnsi="Times New Roman" w:eastAsia="宋体" w:cs="Times New Roman"/>
                      <w:kern w:val="0"/>
                      <w:vertAlign w:val="baseline"/>
                      <w:lang w:val="en-US" w:eastAsia="zh-CN"/>
                    </w:rPr>
                    <w:t>2021年04月23日</w:t>
                  </w: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2104159W013</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2104159W014</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2104159W015</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11:30</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0.95</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1.63</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1.44</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2104159W017</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2104159W018</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2104159W019</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12:58</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1.01</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1.38</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1.45</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2104159W021</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2104159W022</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2104159W023</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14:08</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0.92</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1.44</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1.36</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restart"/>
                  <w:vAlign w:val="center"/>
                </w:tcPr>
                <w:p>
                  <w:pPr>
                    <w:jc w:val="center"/>
                    <w:rPr>
                      <w:rFonts w:hint="default" w:ascii="Times New Roman" w:hAnsi="Times New Roman" w:eastAsia="宋体" w:cs="Times New Roman"/>
                      <w:kern w:val="0"/>
                      <w:vertAlign w:val="baseline"/>
                    </w:rPr>
                  </w:pPr>
                  <w:r>
                    <w:rPr>
                      <w:rFonts w:hint="default" w:ascii="Times New Roman" w:hAnsi="Times New Roman" w:eastAsia="宋体" w:cs="Times New Roman"/>
                      <w:kern w:val="0"/>
                      <w:vertAlign w:val="baseline"/>
                      <w:lang w:eastAsia="zh-CN"/>
                    </w:rPr>
                    <w:t>二氧化硫（</w:t>
                  </w:r>
                  <w:r>
                    <w:rPr>
                      <w:rFonts w:hint="default" w:ascii="Times New Roman" w:hAnsi="Times New Roman" w:eastAsia="宋体" w:cs="Times New Roman"/>
                      <w:kern w:val="0"/>
                      <w:vertAlign w:val="baseline"/>
                      <w:lang w:val="en-US" w:eastAsia="zh-CN"/>
                    </w:rPr>
                    <w:t>mg/m</w:t>
                  </w:r>
                  <w:r>
                    <w:rPr>
                      <w:rFonts w:hint="default" w:ascii="Times New Roman" w:hAnsi="Times New Roman" w:eastAsia="宋体" w:cs="Times New Roman"/>
                      <w:kern w:val="0"/>
                      <w:vertAlign w:val="superscript"/>
                      <w:lang w:val="en-US" w:eastAsia="zh-CN"/>
                    </w:rPr>
                    <w:t>3</w:t>
                  </w:r>
                  <w:r>
                    <w:rPr>
                      <w:rFonts w:hint="default" w:ascii="Times New Roman" w:hAnsi="Times New Roman" w:eastAsia="宋体" w:cs="Times New Roman"/>
                      <w:kern w:val="0"/>
                      <w:vertAlign w:val="baseline"/>
                      <w:lang w:eastAsia="zh-CN"/>
                    </w:rPr>
                    <w:t>）</w:t>
                  </w:r>
                </w:p>
              </w:tc>
              <w:tc>
                <w:tcPr>
                  <w:tcW w:w="435" w:type="pct"/>
                  <w:vMerge w:val="restart"/>
                  <w:vAlign w:val="center"/>
                </w:tcPr>
                <w:p>
                  <w:pPr>
                    <w:jc w:val="center"/>
                    <w:rPr>
                      <w:rFonts w:hint="default" w:ascii="Times New Roman" w:hAnsi="Times New Roman" w:eastAsia="宋体" w:cs="Times New Roman"/>
                      <w:kern w:val="0"/>
                      <w:vertAlign w:val="baseline"/>
                    </w:rPr>
                  </w:pPr>
                  <w:r>
                    <w:rPr>
                      <w:rFonts w:hint="default" w:ascii="Times New Roman" w:hAnsi="Times New Roman" w:eastAsia="宋体" w:cs="Times New Roman"/>
                      <w:kern w:val="0"/>
                      <w:vertAlign w:val="baseline"/>
                      <w:lang w:val="en-US" w:eastAsia="zh-CN"/>
                    </w:rPr>
                    <w:t>2021年04月23日</w:t>
                  </w: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2104159W025</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2104159W026</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2104159W027</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11:30</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0.008</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0.034</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0.038</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2104159W029</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2104159W030</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2104159W031</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12:58</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0.009</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0.031</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0.032</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2104159W033</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2104159W034</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2104159W035</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14:08</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0.011</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0.042</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0.044</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restart"/>
                  <w:vAlign w:val="center"/>
                </w:tcPr>
                <w:p>
                  <w:pPr>
                    <w:jc w:val="center"/>
                    <w:rPr>
                      <w:rFonts w:hint="default" w:ascii="Times New Roman" w:hAnsi="Times New Roman" w:eastAsia="宋体" w:cs="Times New Roman"/>
                      <w:kern w:val="0"/>
                      <w:vertAlign w:val="baseline"/>
                    </w:rPr>
                  </w:pPr>
                  <w:r>
                    <w:rPr>
                      <w:rFonts w:hint="default" w:ascii="Times New Roman" w:hAnsi="Times New Roman" w:eastAsia="宋体" w:cs="Times New Roman"/>
                      <w:kern w:val="0"/>
                      <w:vertAlign w:val="baseline"/>
                      <w:lang w:eastAsia="zh-CN"/>
                    </w:rPr>
                    <w:t>氮氧化物（</w:t>
                  </w:r>
                  <w:r>
                    <w:rPr>
                      <w:rFonts w:hint="default" w:ascii="Times New Roman" w:hAnsi="Times New Roman" w:eastAsia="宋体" w:cs="Times New Roman"/>
                      <w:kern w:val="0"/>
                      <w:vertAlign w:val="baseline"/>
                      <w:lang w:val="en-US" w:eastAsia="zh-CN"/>
                    </w:rPr>
                    <w:t>mg/m</w:t>
                  </w:r>
                  <w:r>
                    <w:rPr>
                      <w:rFonts w:hint="default" w:ascii="Times New Roman" w:hAnsi="Times New Roman" w:eastAsia="宋体" w:cs="Times New Roman"/>
                      <w:kern w:val="0"/>
                      <w:vertAlign w:val="superscript"/>
                      <w:lang w:val="en-US" w:eastAsia="zh-CN"/>
                    </w:rPr>
                    <w:t>3</w:t>
                  </w:r>
                  <w:r>
                    <w:rPr>
                      <w:rFonts w:hint="default" w:ascii="Times New Roman" w:hAnsi="Times New Roman" w:eastAsia="宋体" w:cs="Times New Roman"/>
                      <w:kern w:val="0"/>
                      <w:vertAlign w:val="baseline"/>
                      <w:lang w:eastAsia="zh-CN"/>
                    </w:rPr>
                    <w:t>）</w:t>
                  </w:r>
                </w:p>
              </w:tc>
              <w:tc>
                <w:tcPr>
                  <w:tcW w:w="435" w:type="pct"/>
                  <w:vMerge w:val="restart"/>
                  <w:vAlign w:val="center"/>
                </w:tcPr>
                <w:p>
                  <w:pPr>
                    <w:jc w:val="center"/>
                    <w:rPr>
                      <w:rFonts w:hint="default" w:ascii="Times New Roman" w:hAnsi="Times New Roman" w:eastAsia="宋体" w:cs="Times New Roman"/>
                      <w:kern w:val="0"/>
                      <w:vertAlign w:val="baseline"/>
                    </w:rPr>
                  </w:pPr>
                  <w:r>
                    <w:rPr>
                      <w:rFonts w:hint="default" w:ascii="Times New Roman" w:hAnsi="Times New Roman" w:eastAsia="宋体" w:cs="Times New Roman"/>
                      <w:kern w:val="0"/>
                      <w:vertAlign w:val="baseline"/>
                      <w:lang w:val="en-US" w:eastAsia="zh-CN"/>
                    </w:rPr>
                    <w:t>2021年04月23日</w:t>
                  </w: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2104159W037</w:t>
                  </w:r>
                </w:p>
              </w:tc>
              <w:tc>
                <w:tcPr>
                  <w:tcW w:w="907" w:type="pct"/>
                  <w:vAlign w:val="center"/>
                </w:tcPr>
                <w:p>
                  <w:pPr>
                    <w:jc w:val="center"/>
                    <w:rPr>
                      <w:rFonts w:hint="default" w:ascii="Times New Roman" w:hAnsi="Times New Roman" w:eastAsia="宋体" w:cs="Times New Roman"/>
                      <w:b/>
                      <w:bCs/>
                      <w:kern w:val="0"/>
                      <w:vertAlign w:val="baseline"/>
                      <w:lang w:val="en-US" w:eastAsia="zh-CN"/>
                    </w:rPr>
                  </w:pPr>
                  <w:r>
                    <w:rPr>
                      <w:rFonts w:hint="default" w:ascii="Times New Roman" w:hAnsi="Times New Roman" w:eastAsia="宋体" w:cs="Times New Roman"/>
                      <w:kern w:val="0"/>
                      <w:vertAlign w:val="baseline"/>
                      <w:lang w:val="en-US" w:eastAsia="zh-CN"/>
                    </w:rPr>
                    <w:t>2104159W038</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2104159W039</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11:30</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0.016</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eastAsia" w:cs="Times New Roman"/>
                      <w:kern w:val="0"/>
                      <w:vertAlign w:val="baseline"/>
                      <w:lang w:val="en-US" w:eastAsia="zh-CN"/>
                    </w:rPr>
                    <w:t>0.0045</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0.020</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2104159W041</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2104159W042</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2104159W043</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12:58</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0.016</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0.021</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0.024</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样品编号</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2104159W045</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2104159W046</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2104159W047</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2104159W048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vAlign w:val="center"/>
                </w:tcPr>
                <w:p>
                  <w:pPr>
                    <w:jc w:val="center"/>
                    <w:rPr>
                      <w:rFonts w:hint="default" w:ascii="Times New Roman" w:hAnsi="Times New Roman" w:eastAsia="宋体" w:cs="Times New Roman"/>
                      <w:kern w:val="0"/>
                      <w:vertAlign w:val="baseline"/>
                    </w:rPr>
                  </w:pPr>
                </w:p>
              </w:tc>
              <w:tc>
                <w:tcPr>
                  <w:tcW w:w="435" w:type="pct"/>
                  <w:vMerge w:val="continue"/>
                  <w:vAlign w:val="center"/>
                </w:tcPr>
                <w:p>
                  <w:pPr>
                    <w:jc w:val="center"/>
                    <w:rPr>
                      <w:rFonts w:hint="default" w:ascii="Times New Roman" w:hAnsi="Times New Roman" w:eastAsia="宋体" w:cs="Times New Roman"/>
                      <w:kern w:val="0"/>
                      <w:vertAlign w:val="baseline"/>
                    </w:rPr>
                  </w:pPr>
                </w:p>
              </w:tc>
              <w:tc>
                <w:tcPr>
                  <w:tcW w:w="5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14:08</w:t>
                  </w:r>
                </w:p>
              </w:tc>
              <w:tc>
                <w:tcPr>
                  <w:tcW w:w="902"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0.015</w:t>
                  </w:r>
                </w:p>
              </w:tc>
              <w:tc>
                <w:tcPr>
                  <w:tcW w:w="907"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0.029</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0.023</w:t>
                  </w:r>
                </w:p>
              </w:tc>
              <w:tc>
                <w:tcPr>
                  <w:tcW w:w="873"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0.023</w:t>
                  </w:r>
                </w:p>
              </w:tc>
            </w:tr>
          </w:tbl>
          <w:p>
            <w:pPr>
              <w:spacing w:line="360" w:lineRule="auto"/>
              <w:ind w:firstLine="480" w:firstLineChars="200"/>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lang w:eastAsia="zh-CN"/>
              </w:rPr>
              <w:t>以集气罩收集效率</w:t>
            </w:r>
            <w:r>
              <w:rPr>
                <w:rFonts w:hint="default" w:ascii="Times New Roman" w:hAnsi="Times New Roman" w:eastAsia="宋体" w:cs="Times New Roman"/>
                <w:kern w:val="0"/>
                <w:sz w:val="24"/>
                <w:lang w:val="en-US" w:eastAsia="zh-CN"/>
              </w:rPr>
              <w:t>90%，活性炭吸附装置处理效率70%计，VOCs有组织排放量为0.01</w:t>
            </w:r>
            <w:r>
              <w:rPr>
                <w:rFonts w:hint="eastAsia" w:cs="Times New Roman"/>
                <w:kern w:val="0"/>
                <w:sz w:val="24"/>
                <w:lang w:val="en-US" w:eastAsia="zh-CN"/>
              </w:rPr>
              <w:t>4</w:t>
            </w:r>
            <w:r>
              <w:rPr>
                <w:rFonts w:hint="default" w:ascii="Times New Roman" w:hAnsi="Times New Roman" w:eastAsia="宋体" w:cs="Times New Roman"/>
                <w:kern w:val="0"/>
                <w:sz w:val="24"/>
                <w:lang w:val="en-US" w:eastAsia="zh-CN"/>
              </w:rPr>
              <w:t>t/a，无组织排放量为0.00</w:t>
            </w:r>
            <w:r>
              <w:rPr>
                <w:rFonts w:hint="eastAsia" w:cs="Times New Roman"/>
                <w:kern w:val="0"/>
                <w:sz w:val="24"/>
                <w:lang w:val="en-US" w:eastAsia="zh-CN"/>
              </w:rPr>
              <w:t>5</w:t>
            </w:r>
            <w:r>
              <w:rPr>
                <w:rFonts w:hint="default" w:ascii="Times New Roman" w:hAnsi="Times New Roman" w:eastAsia="宋体" w:cs="Times New Roman"/>
                <w:kern w:val="0"/>
                <w:sz w:val="24"/>
                <w:lang w:val="en-US" w:eastAsia="zh-CN"/>
              </w:rPr>
              <w:t>t/a</w:t>
            </w:r>
            <w:r>
              <w:rPr>
                <w:rFonts w:hint="eastAsia" w:cs="Times New Roman"/>
                <w:kern w:val="0"/>
                <w:sz w:val="24"/>
                <w:lang w:val="en-US" w:eastAsia="zh-CN"/>
              </w:rPr>
              <w:t>，排放总量为0.019t/a</w:t>
            </w:r>
            <w:r>
              <w:rPr>
                <w:rFonts w:hint="default" w:ascii="Times New Roman" w:hAnsi="Times New Roman" w:eastAsia="宋体" w:cs="Times New Roman"/>
                <w:kern w:val="0"/>
                <w:sz w:val="24"/>
                <w:lang w:val="en-US" w:eastAsia="zh-CN"/>
              </w:rPr>
              <w:t>；液化石油气使用量为5t/a，参照《排放源统计调查产排污核算方法和系数手册》“4430工业锅炉（热力生产和供应行业）产排污系数表－燃气工业锅炉”，则颗粒物、二氧化硫、氮氧化物无组织排放量分别为</w:t>
            </w:r>
            <w:r>
              <w:rPr>
                <w:rFonts w:hint="eastAsia" w:ascii="Times New Roman" w:hAnsi="Times New Roman" w:eastAsia="宋体" w:cs="Times New Roman"/>
                <w:kern w:val="0"/>
                <w:sz w:val="24"/>
                <w:lang w:val="en-US" w:eastAsia="zh-CN"/>
              </w:rPr>
              <w:t>0.000218</w:t>
            </w:r>
            <w:r>
              <w:rPr>
                <w:rFonts w:hint="default" w:ascii="Times New Roman" w:hAnsi="Times New Roman" w:eastAsia="宋体" w:cs="Times New Roman"/>
                <w:kern w:val="0"/>
                <w:sz w:val="24"/>
                <w:lang w:val="en-US" w:eastAsia="zh-CN"/>
              </w:rPr>
              <w:t>t/a、0.00158t/a、</w:t>
            </w:r>
            <w:r>
              <w:rPr>
                <w:rFonts w:hint="eastAsia" w:ascii="Times New Roman" w:hAnsi="Times New Roman" w:eastAsia="宋体" w:cs="Times New Roman"/>
                <w:kern w:val="0"/>
                <w:sz w:val="24"/>
                <w:lang w:val="en-US" w:eastAsia="zh-CN"/>
              </w:rPr>
              <w:t>0.01375</w:t>
            </w:r>
            <w:r>
              <w:rPr>
                <w:rFonts w:hint="default" w:ascii="Times New Roman" w:hAnsi="Times New Roman" w:eastAsia="宋体" w:cs="Times New Roman"/>
                <w:kern w:val="0"/>
                <w:sz w:val="24"/>
                <w:lang w:val="en-US" w:eastAsia="zh-CN"/>
              </w:rPr>
              <w:t>t/a。</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eastAsia="zh-CN"/>
              </w:rPr>
              <w:t>由排气筒</w:t>
            </w:r>
            <w:r>
              <w:rPr>
                <w:rFonts w:hint="default" w:ascii="Times New Roman" w:hAnsi="Times New Roman" w:eastAsia="宋体" w:cs="Times New Roman"/>
                <w:kern w:val="0"/>
                <w:sz w:val="24"/>
                <w:lang w:val="en-US" w:eastAsia="zh-CN"/>
              </w:rPr>
              <w:t>P1</w:t>
            </w:r>
            <w:r>
              <w:rPr>
                <w:rFonts w:hint="eastAsia" w:cs="Times New Roman"/>
                <w:kern w:val="0"/>
                <w:sz w:val="24"/>
                <w:lang w:val="en-US" w:eastAsia="zh-CN"/>
              </w:rPr>
              <w:t>有组织</w:t>
            </w:r>
            <w:r>
              <w:rPr>
                <w:rFonts w:hint="default" w:ascii="Times New Roman" w:hAnsi="Times New Roman" w:eastAsia="宋体" w:cs="Times New Roman"/>
                <w:kern w:val="0"/>
                <w:sz w:val="24"/>
                <w:lang w:val="en-US" w:eastAsia="zh-CN"/>
              </w:rPr>
              <w:t>VOCs例行监测和统计结果可见，VOCs有组织排放浓度、速率能够满足</w:t>
            </w:r>
            <w:r>
              <w:rPr>
                <w:rFonts w:hint="default" w:ascii="Times New Roman" w:hAnsi="Times New Roman" w:eastAsia="宋体" w:cs="Times New Roman"/>
                <w:kern w:val="0"/>
                <w:sz w:val="24"/>
              </w:rPr>
              <w:t>《挥发性有机物排放标准 第5部分：表面涂装行业》</w:t>
            </w:r>
            <w:r>
              <w:rPr>
                <w:rFonts w:hint="eastAsia" w:ascii="Times New Roman" w:hAnsi="Times New Roman" w:eastAsia="宋体" w:cs="Times New Roman"/>
                <w:kern w:val="0"/>
                <w:sz w:val="24"/>
                <w:lang w:eastAsia="zh-CN"/>
              </w:rPr>
              <w:t>（DB37/2801.5-2018）表2新建表面涂装企业或生产设施涂装工序VOCs排放限值中</w:t>
            </w:r>
            <w:r>
              <w:rPr>
                <w:rFonts w:hint="default" w:ascii="Times New Roman" w:hAnsi="Times New Roman" w:eastAsia="宋体" w:cs="Times New Roman"/>
                <w:kern w:val="0"/>
                <w:sz w:val="24"/>
              </w:rPr>
              <w:t>相关要求</w:t>
            </w:r>
            <w:r>
              <w:rPr>
                <w:rFonts w:hint="default" w:ascii="Times New Roman" w:hAnsi="Times New Roman" w:eastAsia="宋体" w:cs="Times New Roman"/>
                <w:color w:val="000000"/>
                <w:kern w:val="0"/>
                <w:sz w:val="24"/>
                <w:lang w:val="de-DE"/>
              </w:rPr>
              <w:t>（</w:t>
            </w:r>
            <w:r>
              <w:rPr>
                <w:rFonts w:hint="default" w:ascii="Times New Roman" w:hAnsi="Times New Roman" w:eastAsia="宋体" w:cs="Times New Roman"/>
                <w:color w:val="000000"/>
                <w:kern w:val="0"/>
                <w:sz w:val="24"/>
              </w:rPr>
              <w:t>5</w:t>
            </w:r>
            <w:r>
              <w:rPr>
                <w:rFonts w:hint="default" w:ascii="Times New Roman" w:hAnsi="Times New Roman" w:eastAsia="宋体" w:cs="Times New Roman"/>
                <w:color w:val="000000"/>
                <w:kern w:val="0"/>
                <w:sz w:val="24"/>
                <w:lang w:val="de-DE"/>
              </w:rPr>
              <w:t>0mg/m³；</w:t>
            </w:r>
            <w:r>
              <w:rPr>
                <w:rFonts w:hint="default" w:ascii="Times New Roman" w:hAnsi="Times New Roman" w:eastAsia="宋体" w:cs="Times New Roman"/>
                <w:color w:val="000000"/>
                <w:kern w:val="0"/>
                <w:sz w:val="24"/>
              </w:rPr>
              <w:t>2</w:t>
            </w:r>
            <w:r>
              <w:rPr>
                <w:rFonts w:hint="default" w:ascii="Times New Roman" w:hAnsi="Times New Roman" w:eastAsia="宋体" w:cs="Times New Roman"/>
                <w:color w:val="000000"/>
                <w:kern w:val="0"/>
                <w:sz w:val="24"/>
                <w:lang w:val="de-DE"/>
              </w:rPr>
              <w:t>.0kg/h）</w:t>
            </w:r>
            <w:r>
              <w:rPr>
                <w:rFonts w:hint="default" w:ascii="Times New Roman" w:hAnsi="Times New Roman" w:eastAsia="宋体" w:cs="Times New Roman"/>
                <w:color w:val="000000"/>
                <w:kern w:val="0"/>
                <w:sz w:val="24"/>
                <w:lang w:val="de-DE" w:eastAsia="zh-CN"/>
              </w:rPr>
              <w:t>；</w:t>
            </w:r>
            <w:r>
              <w:rPr>
                <w:rFonts w:hint="default" w:ascii="Times New Roman" w:hAnsi="Times New Roman" w:eastAsia="宋体" w:cs="Times New Roman"/>
                <w:kern w:val="0"/>
                <w:sz w:val="24"/>
              </w:rPr>
              <w:t>由厂界无组织SO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、NOx、颗粒物</w:t>
            </w:r>
            <w:r>
              <w:rPr>
                <w:rFonts w:hint="default" w:ascii="Times New Roman" w:hAnsi="Times New Roman" w:eastAsia="宋体" w:cs="Times New Roman"/>
                <w:kern w:val="0"/>
                <w:sz w:val="24"/>
                <w:lang w:val="en-US" w:eastAsia="zh-CN"/>
              </w:rPr>
              <w:t>例行</w:t>
            </w:r>
            <w:r>
              <w:rPr>
                <w:rFonts w:hint="default" w:ascii="Times New Roman" w:hAnsi="Times New Roman" w:eastAsia="宋体" w:cs="Times New Roman"/>
                <w:kern w:val="0"/>
                <w:sz w:val="24"/>
              </w:rPr>
              <w:t>监测和统计结果可见，厂界无组织颗粒物排放浓度能够满足《大气污染物综合排放标准》（GB16297-1996）表2中厂界无组织排放监控限值</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rPr>
              <w:t>由厂界无组织</w:t>
            </w:r>
            <w:r>
              <w:rPr>
                <w:rFonts w:hint="default" w:ascii="Times New Roman" w:hAnsi="Times New Roman" w:eastAsia="宋体" w:cs="Times New Roman"/>
                <w:kern w:val="0"/>
                <w:sz w:val="24"/>
                <w:lang w:val="en-US" w:eastAsia="zh-CN"/>
              </w:rPr>
              <w:t>VOCs例行</w:t>
            </w:r>
            <w:r>
              <w:rPr>
                <w:rFonts w:hint="default" w:ascii="Times New Roman" w:hAnsi="Times New Roman" w:eastAsia="宋体" w:cs="Times New Roman"/>
                <w:kern w:val="0"/>
                <w:sz w:val="24"/>
              </w:rPr>
              <w:t>监测和统计结果可见，厂界无组织</w:t>
            </w:r>
            <w:r>
              <w:rPr>
                <w:rFonts w:hint="default" w:ascii="Times New Roman" w:hAnsi="Times New Roman" w:eastAsia="宋体" w:cs="Times New Roman"/>
                <w:kern w:val="0"/>
                <w:sz w:val="24"/>
                <w:lang w:val="en-US" w:eastAsia="zh-CN"/>
              </w:rPr>
              <w:t>VOCs</w:t>
            </w:r>
            <w:r>
              <w:rPr>
                <w:rFonts w:hint="default" w:ascii="Times New Roman" w:hAnsi="Times New Roman" w:eastAsia="宋体" w:cs="Times New Roman"/>
                <w:kern w:val="0"/>
                <w:sz w:val="24"/>
              </w:rPr>
              <w:t>排放浓度能够满足《挥发性有机物排放标准 第5部分：表面涂装行业》（DB37/2801.5-2018）表3厂界监控点浓度限值要求。</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2、废水</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项目生产过程中磨底、清洗工序使用水，用水量较少约20t/a，产生的废水经两级沉淀处理后循环使用，不外排。</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项目厂区内不设职工餐厅、宿舍，使用旱厕。生活污水产生量约为</w:t>
            </w:r>
            <w:r>
              <w:rPr>
                <w:rFonts w:hint="default" w:ascii="Times New Roman" w:hAnsi="Times New Roman" w:eastAsia="宋体" w:cs="Times New Roman"/>
                <w:kern w:val="0"/>
                <w:sz w:val="24"/>
                <w:lang w:eastAsia="zh-CN"/>
              </w:rPr>
              <w:t>235.2</w:t>
            </w:r>
            <w:r>
              <w:rPr>
                <w:rFonts w:hint="default" w:ascii="Times New Roman" w:hAnsi="Times New Roman" w:eastAsia="宋体" w:cs="Times New Roman"/>
                <w:kern w:val="0"/>
                <w:sz w:val="24"/>
              </w:rPr>
              <w:t>t/a，生活污水经旱厕沤肥，由附近居民定期清运用作农肥。对周围水环境影响较小。</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3、固体废物</w:t>
            </w:r>
          </w:p>
          <w:p>
            <w:pPr>
              <w:spacing w:line="360" w:lineRule="auto"/>
              <w:ind w:firstLine="480" w:firstLineChars="200"/>
              <w:rPr>
                <w:rFonts w:hint="eastAsia" w:cs="Times New Roman"/>
                <w:kern w:val="0"/>
                <w:sz w:val="24"/>
                <w:lang w:eastAsia="zh-CN"/>
              </w:rPr>
            </w:pPr>
            <w:r>
              <w:rPr>
                <w:rFonts w:hint="eastAsia" w:ascii="Times New Roman" w:hAnsi="Times New Roman" w:eastAsia="宋体" w:cs="Times New Roman"/>
                <w:kern w:val="0"/>
                <w:sz w:val="24"/>
                <w:lang w:eastAsia="zh-CN"/>
              </w:rPr>
              <w:t>现有</w:t>
            </w:r>
            <w:r>
              <w:rPr>
                <w:rFonts w:hint="default" w:ascii="Times New Roman" w:hAnsi="Times New Roman" w:eastAsia="宋体" w:cs="Times New Roman"/>
                <w:kern w:val="0"/>
                <w:sz w:val="24"/>
              </w:rPr>
              <w:t>项目</w:t>
            </w:r>
            <w:r>
              <w:rPr>
                <w:rFonts w:hint="eastAsia" w:ascii="Times New Roman" w:hAnsi="Times New Roman" w:eastAsia="宋体" w:cs="Times New Roman"/>
                <w:kern w:val="0"/>
                <w:sz w:val="24"/>
                <w:lang w:eastAsia="zh-CN"/>
              </w:rPr>
              <w:t>固体废物主要为一般工业固废和生活垃圾，一般工业固废</w:t>
            </w:r>
            <w:r>
              <w:rPr>
                <w:rFonts w:hint="default" w:ascii="Times New Roman" w:hAnsi="Times New Roman" w:eastAsia="宋体" w:cs="Times New Roman"/>
                <w:kern w:val="0"/>
                <w:sz w:val="24"/>
              </w:rPr>
              <w:t>主要是切割工序产生的下脚料，检验工序产生的不合格产品</w:t>
            </w:r>
            <w:r>
              <w:rPr>
                <w:rFonts w:hint="eastAsia" w:cs="Times New Roman"/>
                <w:kern w:val="0"/>
                <w:sz w:val="24"/>
                <w:lang w:eastAsia="zh-CN"/>
              </w:rPr>
              <w:t>，</w:t>
            </w:r>
            <w:r>
              <w:rPr>
                <w:rFonts w:hint="default" w:ascii="Times New Roman" w:hAnsi="Times New Roman" w:eastAsia="宋体" w:cs="Times New Roman"/>
                <w:kern w:val="0"/>
                <w:sz w:val="24"/>
              </w:rPr>
              <w:t>沉淀池中产生的沉渣</w:t>
            </w:r>
            <w:r>
              <w:rPr>
                <w:rFonts w:hint="eastAsia" w:cs="Times New Roman"/>
                <w:kern w:val="0"/>
                <w:sz w:val="24"/>
                <w:lang w:eastAsia="zh-CN"/>
              </w:rPr>
              <w:t>。</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切割工序产生的下脚料（产量8t/a），检验工序产生的不合格产品（产量2t/a），下脚料和不合格产品外售处理；</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沉淀池中产生的沉渣主要成分是抛光粉、玻璃碴（0.05t/a），为一般固废，装垃圾桶由环卫部门清运；</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生活垃圾产生量以0.5公斤/人·天计，全天以</w:t>
            </w:r>
            <w:r>
              <w:rPr>
                <w:rFonts w:hint="default" w:ascii="Times New Roman" w:hAnsi="Times New Roman" w:eastAsia="宋体" w:cs="Times New Roman"/>
                <w:kern w:val="0"/>
                <w:sz w:val="24"/>
                <w:lang w:val="en-US" w:eastAsia="zh-CN"/>
              </w:rPr>
              <w:t>30</w:t>
            </w:r>
            <w:r>
              <w:rPr>
                <w:rFonts w:hint="default" w:ascii="Times New Roman" w:hAnsi="Times New Roman" w:eastAsia="宋体" w:cs="Times New Roman"/>
                <w:kern w:val="0"/>
                <w:sz w:val="24"/>
              </w:rPr>
              <w:t>人计，年运行280天，年总产生量为</w:t>
            </w:r>
            <w:r>
              <w:rPr>
                <w:rFonts w:hint="default" w:ascii="Times New Roman" w:hAnsi="Times New Roman" w:eastAsia="宋体" w:cs="Times New Roman"/>
                <w:kern w:val="0"/>
                <w:sz w:val="24"/>
                <w:lang w:val="en-US" w:eastAsia="zh-CN"/>
              </w:rPr>
              <w:t>4.2</w:t>
            </w:r>
            <w:r>
              <w:rPr>
                <w:rFonts w:hint="default" w:ascii="Times New Roman" w:hAnsi="Times New Roman" w:eastAsia="宋体" w:cs="Times New Roman"/>
                <w:kern w:val="0"/>
                <w:sz w:val="24"/>
              </w:rPr>
              <w:t>吨/年，集中收集，由环卫部门定期清运。旱厕粪便由附近居民定期清运用作农肥。</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建设项目各类固废均得到了有效的处理及处置，不会产生二次污染，对周边环境影响较小。</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4、噪声</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主要来源于切割、封底、压颈、封口工序因机械运转产生的机械噪声，根据类比分析，声源强度在70-90dB（A）之间。该厂的各机械设备均摆放在封闭的车间内。项目在采用先进低噪声设备的同时，车间通过采取减震、合理布置等措施，可以有效地降低设备噪声对周围环境的影响。</w:t>
            </w:r>
          </w:p>
          <w:p>
            <w:pPr>
              <w:spacing w:line="360" w:lineRule="auto"/>
              <w:ind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lang w:eastAsia="zh-CN"/>
              </w:rPr>
              <w:t>为</w:t>
            </w:r>
            <w:r>
              <w:rPr>
                <w:rFonts w:hint="default" w:ascii="Times New Roman" w:hAnsi="Times New Roman" w:eastAsia="宋体" w:cs="Times New Roman"/>
                <w:kern w:val="0"/>
                <w:sz w:val="24"/>
              </w:rPr>
              <w:t>了解</w:t>
            </w:r>
            <w:r>
              <w:rPr>
                <w:rFonts w:hint="eastAsia" w:ascii="Times New Roman" w:hAnsi="Times New Roman" w:eastAsia="宋体" w:cs="Times New Roman"/>
                <w:kern w:val="0"/>
                <w:sz w:val="24"/>
                <w:lang w:eastAsia="zh-CN"/>
              </w:rPr>
              <w:t>现有</w:t>
            </w:r>
            <w:r>
              <w:rPr>
                <w:rFonts w:hint="default" w:ascii="Times New Roman" w:hAnsi="Times New Roman" w:eastAsia="宋体" w:cs="Times New Roman"/>
                <w:kern w:val="0"/>
                <w:sz w:val="24"/>
              </w:rPr>
              <w:t>项目生产过程中厂界处噪声情况，</w:t>
            </w:r>
            <w:r>
              <w:rPr>
                <w:rFonts w:hint="eastAsia" w:ascii="Times New Roman" w:hAnsi="Times New Roman" w:eastAsia="宋体" w:cs="Times New Roman"/>
                <w:kern w:val="0"/>
                <w:sz w:val="24"/>
                <w:lang w:eastAsia="zh-CN"/>
              </w:rPr>
              <w:t>根据</w:t>
            </w:r>
            <w:r>
              <w:rPr>
                <w:rFonts w:hint="eastAsia" w:ascii="Times New Roman" w:hAnsi="Times New Roman" w:eastAsia="宋体" w:cs="Times New Roman"/>
                <w:kern w:val="0"/>
                <w:sz w:val="24"/>
                <w:lang w:val="en-US" w:eastAsia="zh-CN"/>
              </w:rPr>
              <w:t>2021年4月23日企业</w:t>
            </w:r>
            <w:r>
              <w:rPr>
                <w:rFonts w:hint="default" w:ascii="Times New Roman" w:hAnsi="Times New Roman" w:eastAsia="宋体" w:cs="Times New Roman"/>
                <w:kern w:val="0"/>
                <w:sz w:val="24"/>
              </w:rPr>
              <w:t>委托</w:t>
            </w:r>
            <w:r>
              <w:rPr>
                <w:rFonts w:hint="default" w:ascii="Times New Roman" w:hAnsi="Times New Roman" w:eastAsia="宋体" w:cs="Times New Roman"/>
                <w:kern w:val="0"/>
                <w:sz w:val="24"/>
                <w:lang w:eastAsia="zh-CN"/>
              </w:rPr>
              <w:t>山东鼎力环境检测有限公司</w:t>
            </w:r>
            <w:r>
              <w:rPr>
                <w:rFonts w:hint="default" w:ascii="Times New Roman" w:hAnsi="Times New Roman" w:eastAsia="宋体" w:cs="Times New Roman"/>
                <w:kern w:val="0"/>
                <w:sz w:val="24"/>
              </w:rPr>
              <w:t>对</w:t>
            </w:r>
            <w:r>
              <w:rPr>
                <w:rFonts w:hint="eastAsia" w:ascii="Times New Roman" w:hAnsi="Times New Roman" w:eastAsia="宋体" w:cs="Times New Roman"/>
                <w:kern w:val="0"/>
                <w:sz w:val="24"/>
                <w:lang w:eastAsia="zh-CN"/>
              </w:rPr>
              <w:t>现有</w:t>
            </w:r>
            <w:r>
              <w:rPr>
                <w:rFonts w:hint="default" w:ascii="Times New Roman" w:hAnsi="Times New Roman" w:eastAsia="宋体" w:cs="Times New Roman"/>
                <w:kern w:val="0"/>
                <w:sz w:val="24"/>
              </w:rPr>
              <w:t>项目厂界处噪声情况进行</w:t>
            </w:r>
            <w:r>
              <w:rPr>
                <w:rFonts w:hint="eastAsia" w:ascii="Times New Roman" w:hAnsi="Times New Roman" w:eastAsia="宋体" w:cs="Times New Roman"/>
                <w:kern w:val="0"/>
                <w:sz w:val="24"/>
                <w:lang w:eastAsia="zh-CN"/>
              </w:rPr>
              <w:t>的例行</w:t>
            </w:r>
            <w:r>
              <w:rPr>
                <w:rFonts w:hint="default" w:ascii="Times New Roman" w:hAnsi="Times New Roman" w:eastAsia="宋体" w:cs="Times New Roman"/>
                <w:kern w:val="0"/>
                <w:sz w:val="24"/>
              </w:rPr>
              <w:t>监测，检测期间处于正常生产，监测结果见下表。</w:t>
            </w:r>
          </w:p>
          <w:p>
            <w:pPr>
              <w:pStyle w:val="2"/>
              <w:spacing w:after="0"/>
              <w:ind w:left="0" w:leftChars="0" w:firstLine="0" w:firstLineChars="0"/>
              <w:jc w:val="center"/>
              <w:rPr>
                <w:rFonts w:hint="default" w:ascii="Times New Roman" w:hAnsi="Times New Roman" w:eastAsia="宋体" w:cs="Times New Roman"/>
                <w:kern w:val="0"/>
                <w:szCs w:val="24"/>
              </w:rPr>
            </w:pPr>
            <w:r>
              <w:rPr>
                <w:rFonts w:hint="default" w:ascii="Times New Roman" w:hAnsi="Times New Roman" w:eastAsia="宋体" w:cs="Times New Roman"/>
                <w:b/>
                <w:bCs/>
                <w:kern w:val="0"/>
                <w:szCs w:val="24"/>
              </w:rPr>
              <w:t>表2-</w:t>
            </w:r>
            <w:r>
              <w:rPr>
                <w:rFonts w:hint="eastAsia" w:cs="Times New Roman"/>
                <w:b/>
                <w:bCs/>
                <w:kern w:val="0"/>
                <w:szCs w:val="24"/>
                <w:lang w:val="en-US" w:eastAsia="zh-CN"/>
              </w:rPr>
              <w:t>10</w:t>
            </w:r>
            <w:r>
              <w:rPr>
                <w:rFonts w:hint="default" w:ascii="Times New Roman" w:hAnsi="Times New Roman" w:eastAsia="宋体" w:cs="Times New Roman"/>
                <w:b/>
                <w:bCs/>
                <w:kern w:val="0"/>
                <w:szCs w:val="24"/>
              </w:rPr>
              <w:t xml:space="preserve"> 噪声现状监测结果 单位：dB（A）</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4"/>
              <w:gridCol w:w="2014"/>
              <w:gridCol w:w="2015"/>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rFonts w:hint="default" w:ascii="Times New Roman" w:hAnsi="Times New Roman" w:eastAsia="宋体" w:cs="Times New Roman"/>
                      <w:kern w:val="0"/>
                      <w:vertAlign w:val="baseline"/>
                      <w:lang w:eastAsia="zh-CN"/>
                    </w:rPr>
                  </w:pPr>
                  <w:r>
                    <w:rPr>
                      <w:rFonts w:hint="default" w:ascii="Times New Roman" w:hAnsi="Times New Roman" w:eastAsia="宋体" w:cs="Times New Roman"/>
                      <w:kern w:val="0"/>
                      <w:vertAlign w:val="baseline"/>
                      <w:lang w:eastAsia="zh-CN"/>
                    </w:rPr>
                    <w:t>测间最大风速（</w:t>
                  </w:r>
                  <w:r>
                    <w:rPr>
                      <w:rFonts w:hint="default" w:ascii="Times New Roman" w:hAnsi="Times New Roman" w:eastAsia="宋体" w:cs="Times New Roman"/>
                      <w:kern w:val="0"/>
                      <w:vertAlign w:val="baseline"/>
                      <w:lang w:val="en-US" w:eastAsia="zh-CN"/>
                    </w:rPr>
                    <w:t>m/s</w:t>
                  </w:r>
                  <w:r>
                    <w:rPr>
                      <w:rFonts w:hint="default" w:ascii="Times New Roman" w:hAnsi="Times New Roman" w:eastAsia="宋体" w:cs="Times New Roman"/>
                      <w:kern w:val="0"/>
                      <w:vertAlign w:val="baseline"/>
                      <w:lang w:eastAsia="zh-CN"/>
                    </w:rPr>
                    <w:t>）</w:t>
                  </w:r>
                </w:p>
              </w:tc>
              <w:tc>
                <w:tcPr>
                  <w:tcW w:w="1249"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2.0</w:t>
                  </w:r>
                </w:p>
              </w:tc>
              <w:tc>
                <w:tcPr>
                  <w:tcW w:w="1250" w:type="pct"/>
                  <w:vAlign w:val="center"/>
                </w:tcPr>
                <w:p>
                  <w:pPr>
                    <w:jc w:val="center"/>
                    <w:rPr>
                      <w:rFonts w:hint="default" w:ascii="Times New Roman" w:hAnsi="Times New Roman" w:eastAsia="宋体" w:cs="Times New Roman"/>
                      <w:kern w:val="0"/>
                      <w:vertAlign w:val="baseline"/>
                      <w:lang w:eastAsia="zh-CN"/>
                    </w:rPr>
                  </w:pPr>
                  <w:r>
                    <w:rPr>
                      <w:rFonts w:hint="default" w:ascii="Times New Roman" w:hAnsi="Times New Roman" w:eastAsia="宋体" w:cs="Times New Roman"/>
                      <w:kern w:val="0"/>
                      <w:vertAlign w:val="baseline"/>
                      <w:lang w:eastAsia="zh-CN"/>
                    </w:rPr>
                    <w:t>天气情况</w:t>
                  </w:r>
                </w:p>
              </w:tc>
              <w:tc>
                <w:tcPr>
                  <w:tcW w:w="1250" w:type="pct"/>
                  <w:vAlign w:val="center"/>
                </w:tcPr>
                <w:p>
                  <w:pPr>
                    <w:jc w:val="center"/>
                    <w:rPr>
                      <w:rFonts w:hint="default" w:ascii="Times New Roman" w:hAnsi="Times New Roman" w:eastAsia="宋体" w:cs="Times New Roman"/>
                      <w:kern w:val="0"/>
                      <w:vertAlign w:val="baseline"/>
                      <w:lang w:eastAsia="zh-CN"/>
                    </w:rPr>
                  </w:pPr>
                  <w:r>
                    <w:rPr>
                      <w:rFonts w:hint="default" w:ascii="Times New Roman" w:hAnsi="Times New Roman" w:eastAsia="宋体" w:cs="Times New Roman"/>
                      <w:kern w:val="0"/>
                      <w:vertAlign w:val="baseline"/>
                      <w:lang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49"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jc w:val="center"/>
                    <w:rPr>
                      <w:rFonts w:hint="default" w:ascii="Times New Roman" w:hAnsi="Times New Roman" w:eastAsia="宋体" w:cs="Times New Roman"/>
                      <w:kern w:val="0"/>
                      <w:vertAlign w:val="baseline"/>
                      <w:lang w:val="en-US"/>
                    </w:rPr>
                  </w:pPr>
                </w:p>
                <w:p>
                  <w:pPr>
                    <w:bidi w:val="0"/>
                    <w:snapToGrid w:val="0"/>
                    <w:jc w:val="center"/>
                    <mc:AlternateContent>
                      <mc:Choice Requires="wpsCustomData">
                        <wpsCustomData:diagonalParaType/>
                      </mc:Choice>
                    </mc:AlternateContent>
                    <w:rPr>
                      <w:rFonts w:hint="default" w:ascii="Times New Roman" w:hAnsi="Times New Roman" w:eastAsia="宋体" w:cs="Times New Roman"/>
                      <w:kern w:val="0"/>
                      <w:sz w:val="21"/>
                      <w:szCs w:val="24"/>
                      <w:lang w:val="en-US" w:eastAsia="zh-CN" w:bidi="ar-SA"/>
                    </w:rPr>
                  </w:pPr>
                  <w:r>
                    <w:rPr>
                      <w:rFonts w:hint="default" w:ascii="Times New Roman" w:hAnsi="Times New Roman" w:eastAsia="宋体" w:cs="Times New Roman"/>
                      <w:kern w:val="0"/>
                      <w:sz w:val="21"/>
                      <w:szCs w:val="24"/>
                      <w:lang w:val="en-US" w:eastAsia="zh-CN" w:bidi="ar-SA"/>
                    </w:rPr>
                    <w:t>检测点位</w:t>
                  </w:r>
                </w:p>
                <w:p>
                  <w:pPr>
                    <w:bidi w:val="0"/>
                    <w:ind w:firstLine="306" w:firstLineChars="0"/>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eastAsia="宋体" w:cs="Times New Roman"/>
                      <w:kern w:val="0"/>
                      <w:sz w:val="21"/>
                      <w:szCs w:val="24"/>
                      <w:lang w:val="en-US" w:eastAsia="zh-CN" w:bidi="ar-SA"/>
                    </w:rPr>
                    <w:t>检测时间</w:t>
                  </w:r>
                </w:p>
              </w:tc>
              <w:tc>
                <w:tcPr>
                  <w:tcW w:w="3750" w:type="pct"/>
                  <w:gridSpan w:val="3"/>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2021年4月23日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vMerge w:val="continue"/>
                  <w:vAlign w:val="center"/>
                </w:tcPr>
                <w:p>
                  <w:pPr>
                    <w:jc w:val="center"/>
                    <w:rPr>
                      <w:rFonts w:hint="default" w:ascii="Times New Roman" w:hAnsi="Times New Roman" w:eastAsia="宋体" w:cs="Times New Roman"/>
                      <w:kern w:val="0"/>
                      <w:vertAlign w:val="baseline"/>
                    </w:rPr>
                  </w:pPr>
                </w:p>
              </w:tc>
              <w:tc>
                <w:tcPr>
                  <w:tcW w:w="3750" w:type="pct"/>
                  <w:gridSpan w:val="3"/>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昼间</w:t>
                  </w:r>
                  <w:r>
                    <w:rPr>
                      <w:rFonts w:hint="default" w:ascii="Times New Roman" w:hAnsi="Times New Roman" w:eastAsia="宋体" w:cs="Times New Roman"/>
                      <w:kern w:val="0"/>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东厂届外</w:t>
                  </w:r>
                  <w:r>
                    <w:rPr>
                      <w:rFonts w:hint="default" w:ascii="Times New Roman" w:hAnsi="Times New Roman" w:eastAsia="宋体" w:cs="Times New Roman"/>
                      <w:kern w:val="0"/>
                      <w:vertAlign w:val="baseline"/>
                      <w:lang w:val="en-US" w:eastAsia="zh-CN"/>
                    </w:rPr>
                    <w:t>1m</w:t>
                  </w:r>
                </w:p>
              </w:tc>
              <w:tc>
                <w:tcPr>
                  <w:tcW w:w="3750" w:type="pct"/>
                  <w:gridSpan w:val="3"/>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2#南厂界外1m</w:t>
                  </w:r>
                </w:p>
              </w:tc>
              <w:tc>
                <w:tcPr>
                  <w:tcW w:w="3750" w:type="pct"/>
                  <w:gridSpan w:val="3"/>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西厂界外</w:t>
                  </w:r>
                  <w:r>
                    <w:rPr>
                      <w:rFonts w:hint="default" w:ascii="Times New Roman" w:hAnsi="Times New Roman" w:eastAsia="宋体" w:cs="Times New Roman"/>
                      <w:kern w:val="0"/>
                      <w:vertAlign w:val="baseline"/>
                      <w:lang w:val="en-US" w:eastAsia="zh-CN"/>
                    </w:rPr>
                    <w:t>1m</w:t>
                  </w:r>
                </w:p>
              </w:tc>
              <w:tc>
                <w:tcPr>
                  <w:tcW w:w="3750" w:type="pct"/>
                  <w:gridSpan w:val="3"/>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北厂界外</w:t>
                  </w:r>
                  <w:r>
                    <w:rPr>
                      <w:rFonts w:hint="default" w:ascii="Times New Roman" w:hAnsi="Times New Roman" w:eastAsia="宋体" w:cs="Times New Roman"/>
                      <w:kern w:val="0"/>
                      <w:vertAlign w:val="baseline"/>
                      <w:lang w:val="en-US" w:eastAsia="zh-CN"/>
                    </w:rPr>
                    <w:t>1m</w:t>
                  </w:r>
                </w:p>
              </w:tc>
              <w:tc>
                <w:tcPr>
                  <w:tcW w:w="3750" w:type="pct"/>
                  <w:gridSpan w:val="3"/>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eastAsia="zh-CN"/>
                    </w:rPr>
                    <w:t>备注：</w:t>
                  </w:r>
                  <w:r>
                    <w:rPr>
                      <w:rFonts w:hint="default" w:ascii="Times New Roman" w:hAnsi="Times New Roman" w:eastAsia="宋体" w:cs="Times New Roman"/>
                      <w:kern w:val="0"/>
                      <w:vertAlign w:val="baseline"/>
                      <w:lang w:val="en-US" w:eastAsia="zh-CN"/>
                    </w:rPr>
                    <w:t>2021.04.23昼间：仪器测量前校正值94.2dB(A)   仪器测量后校正值93.9dB(A)</w:t>
                  </w:r>
                </w:p>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噪声校准器标准值：94.0dB(A)</w:t>
                  </w:r>
                </w:p>
                <w:p>
                  <w:pPr>
                    <w:jc w:val="center"/>
                    <w:rPr>
                      <w:rFonts w:hint="default" w:ascii="Times New Roman" w:hAnsi="Times New Roman" w:eastAsia="宋体" w:cs="Times New Roman"/>
                      <w:kern w:val="0"/>
                      <w:vertAlign w:val="baseline"/>
                      <w:lang w:val="en-US" w:eastAsia="zh-CN"/>
                    </w:rPr>
                  </w:pPr>
                  <w:r>
                    <w:rPr>
                      <w:rFonts w:hint="default" w:ascii="Times New Roman" w:hAnsi="Times New Roman" w:eastAsia="宋体" w:cs="Times New Roman"/>
                      <w:kern w:val="0"/>
                      <w:vertAlign w:val="baseline"/>
                      <w:lang w:val="en-US" w:eastAsia="zh-CN"/>
                    </w:rPr>
                    <w:t>厂界东侧、西侧、北侧临近企业，不具备检测条件。</w:t>
                  </w:r>
                </w:p>
              </w:tc>
            </w:tr>
          </w:tbl>
          <w:p>
            <w:pPr>
              <w:widowControl/>
              <w:spacing w:line="360" w:lineRule="auto"/>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由上表可以看出，</w:t>
            </w:r>
            <w:r>
              <w:rPr>
                <w:rFonts w:hint="eastAsia" w:ascii="Times New Roman" w:hAnsi="Times New Roman" w:eastAsia="宋体" w:cs="Times New Roman"/>
                <w:kern w:val="0"/>
                <w:sz w:val="24"/>
                <w:lang w:eastAsia="zh-CN"/>
              </w:rPr>
              <w:t>现有</w:t>
            </w:r>
            <w:r>
              <w:rPr>
                <w:rFonts w:hint="default" w:ascii="Times New Roman" w:hAnsi="Times New Roman" w:eastAsia="宋体" w:cs="Times New Roman"/>
                <w:kern w:val="0"/>
                <w:sz w:val="24"/>
              </w:rPr>
              <w:t>项目昼间等效连续A声级为</w:t>
            </w:r>
            <w:r>
              <w:rPr>
                <w:rFonts w:hint="default" w:ascii="Times New Roman" w:hAnsi="Times New Roman" w:eastAsia="宋体" w:cs="Times New Roman"/>
                <w:kern w:val="0"/>
                <w:sz w:val="24"/>
                <w:lang w:val="en-US" w:eastAsia="zh-CN"/>
              </w:rPr>
              <w:t>53.6</w:t>
            </w:r>
            <w:r>
              <w:rPr>
                <w:rFonts w:hint="default" w:ascii="Times New Roman" w:hAnsi="Times New Roman" w:eastAsia="宋体" w:cs="Times New Roman"/>
                <w:kern w:val="0"/>
                <w:sz w:val="24"/>
              </w:rPr>
              <w:t>dB（A）</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rPr>
              <w:t>厂界噪声能够符合《工业企业厂界环境噪声排放标准》（GB12348-2008）2类标准要求。</w:t>
            </w:r>
          </w:p>
          <w:p>
            <w:pPr>
              <w:widowControl/>
              <w:spacing w:line="360" w:lineRule="auto"/>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根据原有环评核算及现状验收，</w:t>
            </w:r>
            <w:r>
              <w:rPr>
                <w:rFonts w:hint="default" w:ascii="Times New Roman" w:hAnsi="Times New Roman" w:eastAsia="宋体" w:cs="Times New Roman"/>
                <w:kern w:val="0"/>
                <w:sz w:val="24"/>
                <w:lang w:eastAsia="zh-CN"/>
              </w:rPr>
              <w:t>现有项目</w:t>
            </w:r>
            <w:r>
              <w:rPr>
                <w:rFonts w:hint="default" w:ascii="Times New Roman" w:hAnsi="Times New Roman" w:eastAsia="宋体" w:cs="Times New Roman"/>
                <w:kern w:val="0"/>
                <w:sz w:val="24"/>
              </w:rPr>
              <w:t>污染物排放情况及处理措施见下表。</w:t>
            </w:r>
          </w:p>
          <w:p>
            <w:pPr>
              <w:pStyle w:val="2"/>
              <w:spacing w:after="0"/>
              <w:ind w:left="0" w:leftChars="0" w:firstLine="482"/>
              <w:jc w:val="center"/>
              <w:rPr>
                <w:rFonts w:hint="default" w:ascii="Times New Roman" w:hAnsi="Times New Roman" w:eastAsia="宋体" w:cs="Times New Roman"/>
                <w:b/>
                <w:bCs/>
                <w:kern w:val="0"/>
                <w:szCs w:val="24"/>
              </w:rPr>
            </w:pPr>
            <w:r>
              <w:rPr>
                <w:rFonts w:hint="default" w:ascii="Times New Roman" w:hAnsi="Times New Roman" w:eastAsia="宋体" w:cs="Times New Roman"/>
                <w:b/>
                <w:bCs/>
                <w:kern w:val="0"/>
                <w:szCs w:val="24"/>
              </w:rPr>
              <w:t>表2-</w:t>
            </w:r>
            <w:r>
              <w:rPr>
                <w:rFonts w:hint="eastAsia" w:ascii="Times New Roman" w:hAnsi="Times New Roman" w:eastAsia="宋体" w:cs="Times New Roman"/>
                <w:b/>
                <w:bCs/>
                <w:kern w:val="0"/>
                <w:szCs w:val="24"/>
                <w:lang w:val="en-US" w:eastAsia="zh-CN"/>
              </w:rPr>
              <w:t>1</w:t>
            </w:r>
            <w:r>
              <w:rPr>
                <w:rFonts w:hint="eastAsia" w:cs="Times New Roman"/>
                <w:b/>
                <w:bCs/>
                <w:kern w:val="0"/>
                <w:szCs w:val="24"/>
                <w:lang w:val="en-US" w:eastAsia="zh-CN"/>
              </w:rPr>
              <w:t xml:space="preserve">1 </w:t>
            </w:r>
            <w:r>
              <w:rPr>
                <w:rFonts w:hint="default" w:ascii="Times New Roman" w:hAnsi="Times New Roman" w:eastAsia="宋体" w:cs="Times New Roman"/>
                <w:b/>
                <w:bCs/>
                <w:kern w:val="0"/>
                <w:szCs w:val="24"/>
                <w:lang w:eastAsia="zh-CN"/>
              </w:rPr>
              <w:t>现有项目</w:t>
            </w:r>
            <w:r>
              <w:rPr>
                <w:rFonts w:hint="default" w:ascii="Times New Roman" w:hAnsi="Times New Roman" w:eastAsia="宋体" w:cs="Times New Roman"/>
                <w:b/>
                <w:bCs/>
                <w:kern w:val="0"/>
                <w:szCs w:val="24"/>
              </w:rPr>
              <w:t>污染物排放情况及处理措施表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
              <w:gridCol w:w="431"/>
              <w:gridCol w:w="1638"/>
              <w:gridCol w:w="1858"/>
              <w:gridCol w:w="263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类型</w:t>
                  </w:r>
                </w:p>
              </w:tc>
              <w:tc>
                <w:tcPr>
                  <w:tcW w:w="101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排放源</w:t>
                  </w: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污染物</w:t>
                  </w:r>
                </w:p>
              </w:tc>
              <w:tc>
                <w:tcPr>
                  <w:tcW w:w="163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治理措施</w:t>
                  </w:r>
                </w:p>
              </w:tc>
              <w:tc>
                <w:tcPr>
                  <w:tcW w:w="72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03"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大气污染物</w:t>
                  </w:r>
                </w:p>
              </w:tc>
              <w:tc>
                <w:tcPr>
                  <w:tcW w:w="267" w:type="pct"/>
                  <w:vMerge w:val="restart"/>
                  <w:vAlign w:val="center"/>
                </w:tcPr>
                <w:p>
                  <w:pPr>
                    <w:jc w:val="center"/>
                    <w:rPr>
                      <w:rFonts w:hint="eastAsia" w:ascii="Times New Roman" w:hAnsi="Times New Roman" w:eastAsia="宋体" w:cs="Times New Roman"/>
                      <w:kern w:val="0"/>
                      <w:szCs w:val="21"/>
                      <w:lang w:eastAsia="zh-CN"/>
                    </w:rPr>
                  </w:pPr>
                  <w:r>
                    <w:rPr>
                      <w:rFonts w:hint="eastAsia" w:cs="Times New Roman"/>
                      <w:kern w:val="0"/>
                      <w:szCs w:val="21"/>
                      <w:lang w:eastAsia="zh-CN"/>
                    </w:rPr>
                    <w:t>无组织废气</w:t>
                  </w:r>
                </w:p>
              </w:tc>
              <w:tc>
                <w:tcPr>
                  <w:tcW w:w="1016" w:type="pct"/>
                  <w:vMerge w:val="restart"/>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切割工序</w:t>
                  </w:r>
                  <w:r>
                    <w:rPr>
                      <w:rFonts w:hint="eastAsia" w:cs="Times New Roman"/>
                      <w:kern w:val="0"/>
                      <w:szCs w:val="21"/>
                      <w:lang w:eastAsia="zh-CN"/>
                    </w:rPr>
                    <w:t>、</w:t>
                  </w:r>
                  <w:r>
                    <w:rPr>
                      <w:rFonts w:hint="default" w:ascii="Times New Roman" w:hAnsi="Times New Roman" w:eastAsia="宋体" w:cs="Times New Roman"/>
                      <w:kern w:val="0"/>
                      <w:szCs w:val="21"/>
                    </w:rPr>
                    <w:t>封底工序</w:t>
                  </w:r>
                  <w:r>
                    <w:rPr>
                      <w:rFonts w:hint="eastAsia" w:cs="Times New Roman"/>
                      <w:kern w:val="0"/>
                      <w:szCs w:val="21"/>
                      <w:lang w:eastAsia="zh-CN"/>
                    </w:rPr>
                    <w:t>、</w:t>
                  </w:r>
                  <w:r>
                    <w:rPr>
                      <w:rFonts w:hint="default" w:ascii="Times New Roman" w:hAnsi="Times New Roman" w:eastAsia="宋体" w:cs="Times New Roman"/>
                      <w:kern w:val="0"/>
                      <w:szCs w:val="21"/>
                    </w:rPr>
                    <w:t>封口工序液化石油气燃烧</w:t>
                  </w:r>
                </w:p>
                <w:p>
                  <w:pPr>
                    <w:jc w:val="center"/>
                    <w:rPr>
                      <w:rFonts w:hint="default" w:ascii="Times New Roman" w:hAnsi="Times New Roman" w:eastAsia="宋体" w:cs="Times New Roman"/>
                      <w:kern w:val="0"/>
                      <w:szCs w:val="21"/>
                    </w:rPr>
                  </w:pP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颗粒物</w:t>
                  </w:r>
                </w:p>
              </w:tc>
              <w:tc>
                <w:tcPr>
                  <w:tcW w:w="1635"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加强通风、加强操作管理和设备维护</w:t>
                  </w:r>
                </w:p>
              </w:tc>
              <w:tc>
                <w:tcPr>
                  <w:tcW w:w="724" w:type="pct"/>
                  <w:vAlign w:val="center"/>
                </w:tcPr>
                <w:p>
                  <w:pPr>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0.000218t/a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03" w:type="pct"/>
                  <w:vMerge w:val="continue"/>
                  <w:vAlign w:val="center"/>
                </w:tcPr>
                <w:p>
                  <w:pPr>
                    <w:jc w:val="center"/>
                  </w:pPr>
                </w:p>
              </w:tc>
              <w:tc>
                <w:tcPr>
                  <w:tcW w:w="267" w:type="pct"/>
                  <w:vMerge w:val="continue"/>
                  <w:vAlign w:val="center"/>
                </w:tcPr>
                <w:p>
                  <w:pPr>
                    <w:jc w:val="center"/>
                  </w:pPr>
                </w:p>
              </w:tc>
              <w:tc>
                <w:tcPr>
                  <w:tcW w:w="1016" w:type="pct"/>
                  <w:vMerge w:val="continue"/>
                  <w:vAlign w:val="center"/>
                </w:tcPr>
                <w:p>
                  <w:pPr>
                    <w:jc w:val="center"/>
                  </w:pP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1635" w:type="pct"/>
                  <w:vMerge w:val="continue"/>
                  <w:vAlign w:val="center"/>
                </w:tcPr>
                <w:p>
                  <w:pPr>
                    <w:jc w:val="center"/>
                    <w:rPr>
                      <w:rFonts w:hint="default" w:ascii="Times New Roman" w:hAnsi="Times New Roman" w:eastAsia="宋体" w:cs="Times New Roman"/>
                      <w:kern w:val="0"/>
                      <w:szCs w:val="21"/>
                    </w:rPr>
                  </w:pPr>
                </w:p>
              </w:tc>
              <w:tc>
                <w:tcPr>
                  <w:tcW w:w="724" w:type="pct"/>
                  <w:vAlign w:val="center"/>
                </w:tcPr>
                <w:p>
                  <w:pPr>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0.00158t/a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03" w:type="pct"/>
                  <w:vMerge w:val="continue"/>
                  <w:vAlign w:val="center"/>
                </w:tcPr>
                <w:p>
                  <w:pPr>
                    <w:jc w:val="center"/>
                    <w:rPr>
                      <w:rFonts w:hint="default" w:ascii="Times New Roman" w:hAnsi="Times New Roman" w:eastAsia="宋体" w:cs="Times New Roman"/>
                      <w:kern w:val="0"/>
                      <w:szCs w:val="21"/>
                    </w:rPr>
                  </w:pPr>
                </w:p>
              </w:tc>
              <w:tc>
                <w:tcPr>
                  <w:tcW w:w="267" w:type="pct"/>
                  <w:vMerge w:val="continue"/>
                  <w:vAlign w:val="center"/>
                </w:tcPr>
                <w:p>
                  <w:pPr>
                    <w:jc w:val="center"/>
                    <w:rPr>
                      <w:rFonts w:hint="default" w:ascii="Times New Roman" w:hAnsi="Times New Roman" w:eastAsia="宋体" w:cs="Times New Roman"/>
                      <w:kern w:val="0"/>
                      <w:szCs w:val="21"/>
                    </w:rPr>
                  </w:pPr>
                </w:p>
              </w:tc>
              <w:tc>
                <w:tcPr>
                  <w:tcW w:w="1016" w:type="pct"/>
                  <w:vMerge w:val="continue"/>
                  <w:vAlign w:val="center"/>
                </w:tcPr>
                <w:p>
                  <w:pPr>
                    <w:jc w:val="center"/>
                    <w:rPr>
                      <w:rFonts w:hint="default" w:ascii="Times New Roman" w:hAnsi="Times New Roman" w:eastAsia="宋体" w:cs="Times New Roman"/>
                      <w:kern w:val="0"/>
                      <w:szCs w:val="21"/>
                    </w:rPr>
                  </w:pP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X</w:t>
                  </w:r>
                </w:p>
              </w:tc>
              <w:tc>
                <w:tcPr>
                  <w:tcW w:w="1635" w:type="pct"/>
                  <w:vMerge w:val="continue"/>
                  <w:vAlign w:val="center"/>
                </w:tcPr>
                <w:p>
                  <w:pPr>
                    <w:jc w:val="center"/>
                    <w:rPr>
                      <w:rFonts w:hint="default" w:ascii="Times New Roman" w:hAnsi="Times New Roman" w:eastAsia="宋体" w:cs="Times New Roman"/>
                      <w:kern w:val="0"/>
                      <w:szCs w:val="21"/>
                    </w:rPr>
                  </w:pPr>
                </w:p>
              </w:tc>
              <w:tc>
                <w:tcPr>
                  <w:tcW w:w="724" w:type="pct"/>
                  <w:vAlign w:val="center"/>
                </w:tcPr>
                <w:p>
                  <w:pPr>
                    <w:jc w:val="center"/>
                    <w:rPr>
                      <w:rFonts w:hint="default" w:ascii="Times New Roman" w:hAnsi="Times New Roman" w:eastAsia="宋体" w:cs="Times New Roman"/>
                      <w:kern w:val="0"/>
                      <w:szCs w:val="21"/>
                      <w:lang w:val="en-US" w:eastAsia="zh-CN"/>
                    </w:rPr>
                  </w:pPr>
                  <w:r>
                    <w:rPr>
                      <w:rFonts w:hint="eastAsia" w:cs="Times New Roman"/>
                      <w:kern w:val="0"/>
                      <w:szCs w:val="21"/>
                      <w:lang w:val="en-US" w:eastAsia="zh-CN"/>
                    </w:rPr>
                    <w:t>0.01375t/a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03" w:type="pct"/>
                  <w:vMerge w:val="continue"/>
                  <w:vAlign w:val="center"/>
                </w:tcPr>
                <w:p>
                  <w:pPr>
                    <w:jc w:val="center"/>
                    <w:rPr>
                      <w:rFonts w:hint="default" w:ascii="Times New Roman" w:hAnsi="Times New Roman" w:eastAsia="宋体" w:cs="Times New Roman"/>
                      <w:kern w:val="0"/>
                      <w:szCs w:val="21"/>
                    </w:rPr>
                  </w:pPr>
                </w:p>
              </w:tc>
              <w:tc>
                <w:tcPr>
                  <w:tcW w:w="267" w:type="pct"/>
                  <w:vMerge w:val="continue"/>
                  <w:vAlign w:val="center"/>
                </w:tcPr>
                <w:p>
                  <w:pPr>
                    <w:jc w:val="center"/>
                    <w:rPr>
                      <w:rFonts w:hint="default" w:ascii="Times New Roman" w:hAnsi="Times New Roman" w:eastAsia="宋体" w:cs="Times New Roman"/>
                      <w:kern w:val="0"/>
                      <w:szCs w:val="21"/>
                      <w:lang w:val="en-US" w:eastAsia="zh-CN"/>
                    </w:rPr>
                  </w:pPr>
                </w:p>
              </w:tc>
              <w:tc>
                <w:tcPr>
                  <w:tcW w:w="1016" w:type="pct"/>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lang w:val="en-US" w:eastAsia="zh-CN"/>
                    </w:rPr>
                    <w:t>印花工序非收集废气</w:t>
                  </w:r>
                </w:p>
              </w:tc>
              <w:tc>
                <w:tcPr>
                  <w:tcW w:w="1152" w:type="pct"/>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VOCs</w:t>
                  </w:r>
                </w:p>
              </w:tc>
              <w:tc>
                <w:tcPr>
                  <w:tcW w:w="1635" w:type="pct"/>
                  <w:vMerge w:val="continue"/>
                  <w:vAlign w:val="center"/>
                </w:tcPr>
                <w:p>
                  <w:pPr>
                    <w:jc w:val="center"/>
                    <w:rPr>
                      <w:rFonts w:hint="default" w:ascii="Times New Roman" w:hAnsi="Times New Roman" w:eastAsia="宋体" w:cs="Times New Roman"/>
                      <w:kern w:val="0"/>
                      <w:szCs w:val="21"/>
                    </w:rPr>
                  </w:pPr>
                </w:p>
              </w:tc>
              <w:tc>
                <w:tcPr>
                  <w:tcW w:w="724" w:type="pct"/>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w:t>
                  </w:r>
                  <w:r>
                    <w:rPr>
                      <w:rFonts w:hint="eastAsia" w:cs="Times New Roman"/>
                      <w:kern w:val="0"/>
                      <w:szCs w:val="21"/>
                      <w:lang w:val="en-US" w:eastAsia="zh-CN"/>
                    </w:rPr>
                    <w:t>5</w:t>
                  </w:r>
                  <w:r>
                    <w:rPr>
                      <w:rFonts w:hint="default" w:ascii="Times New Roman" w:hAnsi="Times New Roman" w:eastAsia="宋体" w:cs="Times New Roman"/>
                      <w:kern w:val="0"/>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03" w:type="pct"/>
                  <w:vMerge w:val="continue"/>
                  <w:vAlign w:val="center"/>
                </w:tcPr>
                <w:p>
                  <w:pPr>
                    <w:jc w:val="center"/>
                    <w:rPr>
                      <w:rFonts w:hint="default" w:ascii="Times New Roman" w:hAnsi="Times New Roman" w:eastAsia="宋体" w:cs="Times New Roman"/>
                      <w:kern w:val="0"/>
                      <w:szCs w:val="21"/>
                    </w:rPr>
                  </w:pPr>
                </w:p>
              </w:tc>
              <w:tc>
                <w:tcPr>
                  <w:tcW w:w="267" w:type="pct"/>
                  <w:vAlign w:val="center"/>
                </w:tcPr>
                <w:p>
                  <w:pPr>
                    <w:jc w:val="center"/>
                    <w:rPr>
                      <w:rFonts w:hint="default" w:ascii="Times New Roman" w:hAnsi="Times New Roman" w:eastAsia="宋体" w:cs="Times New Roman"/>
                      <w:kern w:val="0"/>
                      <w:szCs w:val="21"/>
                      <w:lang w:eastAsia="zh-CN"/>
                    </w:rPr>
                  </w:pPr>
                  <w:r>
                    <w:rPr>
                      <w:rFonts w:hint="eastAsia" w:cs="Times New Roman"/>
                      <w:kern w:val="0"/>
                      <w:szCs w:val="21"/>
                      <w:lang w:eastAsia="zh-CN"/>
                    </w:rPr>
                    <w:t>有组织废气</w:t>
                  </w:r>
                </w:p>
              </w:tc>
              <w:tc>
                <w:tcPr>
                  <w:tcW w:w="1016" w:type="pct"/>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lang w:eastAsia="zh-CN"/>
                    </w:rPr>
                    <w:t>印花工序</w:t>
                  </w:r>
                </w:p>
              </w:tc>
              <w:tc>
                <w:tcPr>
                  <w:tcW w:w="1152" w:type="pct"/>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VOCs</w:t>
                  </w:r>
                </w:p>
              </w:tc>
              <w:tc>
                <w:tcPr>
                  <w:tcW w:w="1635" w:type="pct"/>
                  <w:vAlign w:val="center"/>
                </w:tcPr>
                <w:p>
                  <w:pPr>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eastAsia="zh-CN"/>
                    </w:rPr>
                    <w:t>活性炭</w:t>
                  </w:r>
                  <w:r>
                    <w:rPr>
                      <w:rFonts w:hint="eastAsia" w:cs="Times New Roman"/>
                      <w:kern w:val="0"/>
                      <w:szCs w:val="21"/>
                      <w:lang w:eastAsia="zh-CN"/>
                    </w:rPr>
                    <w:t>吸附</w:t>
                  </w:r>
                </w:p>
              </w:tc>
              <w:tc>
                <w:tcPr>
                  <w:tcW w:w="724" w:type="pct"/>
                  <w:vAlign w:val="center"/>
                </w:tcPr>
                <w:p>
                  <w:pPr>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r>
                    <w:rPr>
                      <w:rFonts w:hint="eastAsia" w:cs="Times New Roman"/>
                      <w:kern w:val="0"/>
                      <w:szCs w:val="21"/>
                      <w:lang w:val="en-US" w:eastAsia="zh-CN"/>
                    </w:rPr>
                    <w:t>4</w:t>
                  </w:r>
                  <w:r>
                    <w:rPr>
                      <w:rFonts w:hint="default" w:ascii="Times New Roman" w:hAnsi="Times New Roman" w:eastAsia="宋体" w:cs="Times New Roman"/>
                      <w:kern w:val="0"/>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水污染物</w:t>
                  </w:r>
                </w:p>
              </w:tc>
              <w:tc>
                <w:tcPr>
                  <w:tcW w:w="101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生活污水</w:t>
                  </w: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COD、BOD</w:t>
                  </w:r>
                  <w:r>
                    <w:rPr>
                      <w:rFonts w:hint="default" w:ascii="Times New Roman" w:hAnsi="Times New Roman" w:eastAsia="宋体" w:cs="Times New Roman"/>
                      <w:kern w:val="0"/>
                      <w:szCs w:val="21"/>
                      <w:vertAlign w:val="subscript"/>
                    </w:rPr>
                    <w:t>5</w:t>
                  </w:r>
                  <w:r>
                    <w:rPr>
                      <w:rFonts w:hint="default" w:ascii="Times New Roman" w:hAnsi="Times New Roman" w:eastAsia="宋体" w:cs="Times New Roman"/>
                      <w:kern w:val="0"/>
                      <w:szCs w:val="21"/>
                    </w:rPr>
                    <w:t>、氨氮、SS等</w:t>
                  </w:r>
                </w:p>
              </w:tc>
              <w:tc>
                <w:tcPr>
                  <w:tcW w:w="163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经旱厕沤肥，由附近居民定期清运用作农肥</w:t>
                  </w:r>
                </w:p>
              </w:tc>
              <w:tc>
                <w:tcPr>
                  <w:tcW w:w="72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gridSpan w:val="2"/>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固体废物</w:t>
                  </w:r>
                </w:p>
              </w:tc>
              <w:tc>
                <w:tcPr>
                  <w:tcW w:w="101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生产生活</w:t>
                  </w: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生活垃圾</w:t>
                  </w:r>
                </w:p>
              </w:tc>
              <w:tc>
                <w:tcPr>
                  <w:tcW w:w="163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集中收集，由环卫部门定统一清运</w:t>
                  </w:r>
                </w:p>
              </w:tc>
              <w:tc>
                <w:tcPr>
                  <w:tcW w:w="724"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0" w:type="pct"/>
                  <w:gridSpan w:val="2"/>
                  <w:vMerge w:val="continue"/>
                  <w:vAlign w:val="center"/>
                </w:tcPr>
                <w:p>
                  <w:pPr>
                    <w:jc w:val="center"/>
                    <w:rPr>
                      <w:rFonts w:hint="default" w:ascii="Times New Roman" w:hAnsi="Times New Roman" w:eastAsia="宋体" w:cs="Times New Roman"/>
                      <w:kern w:val="0"/>
                      <w:szCs w:val="21"/>
                    </w:rPr>
                  </w:pPr>
                </w:p>
              </w:tc>
              <w:tc>
                <w:tcPr>
                  <w:tcW w:w="1016"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一般工业固废</w:t>
                  </w: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下脚料</w:t>
                  </w:r>
                </w:p>
              </w:tc>
              <w:tc>
                <w:tcPr>
                  <w:tcW w:w="1635"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外售处理</w:t>
                  </w:r>
                </w:p>
              </w:tc>
              <w:tc>
                <w:tcPr>
                  <w:tcW w:w="724" w:type="pct"/>
                  <w:vMerge w:val="continue"/>
                  <w:vAlign w:val="center"/>
                </w:tcPr>
                <w:p>
                  <w:pPr>
                    <w:jc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70" w:type="pct"/>
                  <w:gridSpan w:val="2"/>
                  <w:vMerge w:val="continue"/>
                  <w:vAlign w:val="center"/>
                </w:tcPr>
                <w:p>
                  <w:pPr>
                    <w:jc w:val="center"/>
                    <w:rPr>
                      <w:rFonts w:hint="default" w:ascii="Times New Roman" w:hAnsi="Times New Roman" w:eastAsia="宋体" w:cs="Times New Roman"/>
                      <w:kern w:val="0"/>
                      <w:szCs w:val="21"/>
                    </w:rPr>
                  </w:pPr>
                </w:p>
              </w:tc>
              <w:tc>
                <w:tcPr>
                  <w:tcW w:w="1016" w:type="pct"/>
                  <w:vMerge w:val="continue"/>
                  <w:vAlign w:val="center"/>
                </w:tcPr>
                <w:p>
                  <w:pPr>
                    <w:jc w:val="center"/>
                    <w:rPr>
                      <w:rFonts w:hint="default" w:ascii="Times New Roman" w:hAnsi="Times New Roman" w:eastAsia="宋体" w:cs="Times New Roman"/>
                      <w:kern w:val="0"/>
                      <w:szCs w:val="21"/>
                    </w:rPr>
                  </w:pP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不合格产品</w:t>
                  </w:r>
                </w:p>
              </w:tc>
              <w:tc>
                <w:tcPr>
                  <w:tcW w:w="1635" w:type="pct"/>
                  <w:vMerge w:val="continue"/>
                  <w:vAlign w:val="center"/>
                </w:tcPr>
                <w:p>
                  <w:pPr>
                    <w:jc w:val="center"/>
                    <w:rPr>
                      <w:rFonts w:hint="default" w:ascii="Times New Roman" w:hAnsi="Times New Roman" w:eastAsia="宋体" w:cs="Times New Roman"/>
                      <w:kern w:val="0"/>
                      <w:szCs w:val="21"/>
                    </w:rPr>
                  </w:pPr>
                </w:p>
              </w:tc>
              <w:tc>
                <w:tcPr>
                  <w:tcW w:w="724" w:type="pct"/>
                  <w:vMerge w:val="continue"/>
                  <w:vAlign w:val="center"/>
                </w:tcPr>
                <w:p>
                  <w:pPr>
                    <w:jc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gridSpan w:val="2"/>
                  <w:vMerge w:val="continue"/>
                  <w:vAlign w:val="center"/>
                </w:tcPr>
                <w:p>
                  <w:pPr>
                    <w:jc w:val="center"/>
                    <w:rPr>
                      <w:rFonts w:hint="default" w:ascii="Times New Roman" w:hAnsi="Times New Roman" w:eastAsia="宋体" w:cs="Times New Roman"/>
                      <w:kern w:val="0"/>
                      <w:szCs w:val="21"/>
                    </w:rPr>
                  </w:pPr>
                </w:p>
              </w:tc>
              <w:tc>
                <w:tcPr>
                  <w:tcW w:w="1016" w:type="pct"/>
                  <w:vMerge w:val="continue"/>
                  <w:vAlign w:val="center"/>
                </w:tcPr>
                <w:p>
                  <w:pPr>
                    <w:jc w:val="center"/>
                    <w:rPr>
                      <w:rFonts w:hint="default" w:ascii="Times New Roman" w:hAnsi="Times New Roman" w:eastAsia="宋体" w:cs="Times New Roman"/>
                      <w:kern w:val="0"/>
                      <w:szCs w:val="21"/>
                    </w:rPr>
                  </w:pP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沉淀池沉渣</w:t>
                  </w:r>
                </w:p>
              </w:tc>
              <w:tc>
                <w:tcPr>
                  <w:tcW w:w="163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集中收集，由环卫部门定统一清运</w:t>
                  </w:r>
                </w:p>
              </w:tc>
              <w:tc>
                <w:tcPr>
                  <w:tcW w:w="724" w:type="pct"/>
                  <w:vMerge w:val="continue"/>
                  <w:vAlign w:val="center"/>
                </w:tcPr>
                <w:p>
                  <w:pPr>
                    <w:jc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w:t>
                  </w:r>
                </w:p>
              </w:tc>
              <w:tc>
                <w:tcPr>
                  <w:tcW w:w="101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各种机械设备运行</w:t>
                  </w:r>
                </w:p>
              </w:tc>
              <w:tc>
                <w:tcPr>
                  <w:tcW w:w="11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w:t>
                  </w:r>
                </w:p>
              </w:tc>
              <w:tc>
                <w:tcPr>
                  <w:tcW w:w="163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采用隔音、减震设施</w:t>
                  </w:r>
                </w:p>
              </w:tc>
              <w:tc>
                <w:tcPr>
                  <w:tcW w:w="72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bl>
          <w:p>
            <w:pPr>
              <w:pStyle w:val="2"/>
              <w:spacing w:after="0" w:line="360" w:lineRule="auto"/>
              <w:ind w:left="0" w:leftChars="0" w:firstLine="48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四、现有项目存在的问题及整改措施</w:t>
            </w:r>
          </w:p>
          <w:p>
            <w:pPr>
              <w:pStyle w:val="17"/>
              <w:spacing w:before="0" w:beforeAutospacing="0" w:after="0" w:afterAutospacing="0" w:line="360" w:lineRule="auto"/>
              <w:ind w:firstLine="480" w:firstLineChars="20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1、存在的问题</w:t>
            </w:r>
          </w:p>
          <w:p>
            <w:pPr>
              <w:pStyle w:val="17"/>
              <w:spacing w:before="0" w:beforeAutospacing="0" w:after="0" w:afterAutospacing="0" w:line="360" w:lineRule="auto"/>
              <w:ind w:firstLine="480" w:firstLineChars="200"/>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（1）</w:t>
            </w:r>
            <w:r>
              <w:rPr>
                <w:rFonts w:hint="default" w:ascii="Times New Roman" w:hAnsi="Times New Roman" w:eastAsia="宋体" w:cs="Times New Roman"/>
                <w:kern w:val="0"/>
                <w:szCs w:val="24"/>
                <w:lang w:eastAsia="zh-CN"/>
              </w:rPr>
              <w:t>空压机未设置隔音措施</w:t>
            </w:r>
            <w:r>
              <w:rPr>
                <w:rFonts w:hint="default" w:ascii="Times New Roman" w:hAnsi="Times New Roman" w:eastAsia="宋体" w:cs="Times New Roman"/>
                <w:kern w:val="0"/>
                <w:szCs w:val="24"/>
              </w:rPr>
              <w:t>。</w:t>
            </w:r>
          </w:p>
          <w:p>
            <w:pPr>
              <w:pStyle w:val="17"/>
              <w:spacing w:before="0" w:beforeAutospacing="0" w:after="0" w:afterAutospacing="0" w:line="360" w:lineRule="auto"/>
              <w:ind w:firstLine="480" w:firstLineChars="200"/>
              <w:rPr>
                <w:rFonts w:hint="default" w:ascii="Times New Roman" w:hAnsi="Times New Roman" w:eastAsia="宋体" w:cs="Times New Roman"/>
                <w:kern w:val="0"/>
                <w:szCs w:val="24"/>
                <w:lang w:eastAsia="zh-CN"/>
              </w:rPr>
            </w:pPr>
            <w:r>
              <w:rPr>
                <w:rFonts w:hint="default" w:ascii="Times New Roman" w:hAnsi="Times New Roman" w:eastAsia="宋体" w:cs="Times New Roman"/>
                <w:kern w:val="0"/>
                <w:szCs w:val="24"/>
              </w:rPr>
              <w:t>（</w:t>
            </w:r>
            <w:r>
              <w:rPr>
                <w:rFonts w:hint="default" w:ascii="Times New Roman" w:hAnsi="Times New Roman" w:eastAsia="宋体" w:cs="Times New Roman"/>
                <w:kern w:val="0"/>
                <w:szCs w:val="24"/>
                <w:lang w:val="en-US" w:eastAsia="zh-CN"/>
              </w:rPr>
              <w:t>2</w:t>
            </w:r>
            <w:r>
              <w:rPr>
                <w:rFonts w:hint="default" w:ascii="Times New Roman" w:hAnsi="Times New Roman" w:eastAsia="宋体" w:cs="Times New Roman"/>
                <w:kern w:val="0"/>
                <w:szCs w:val="24"/>
              </w:rPr>
              <w:t>）</w:t>
            </w:r>
            <w:r>
              <w:rPr>
                <w:rFonts w:hint="default" w:ascii="Times New Roman" w:hAnsi="Times New Roman" w:eastAsia="宋体" w:cs="Times New Roman"/>
                <w:kern w:val="0"/>
                <w:szCs w:val="24"/>
                <w:lang w:eastAsia="zh-CN"/>
              </w:rPr>
              <w:t>一般固废暂存区、危废间</w:t>
            </w:r>
            <w:r>
              <w:rPr>
                <w:rFonts w:hint="default" w:ascii="Times New Roman" w:hAnsi="Times New Roman" w:eastAsia="宋体" w:cs="Times New Roman"/>
                <w:color w:val="000000"/>
                <w:kern w:val="0"/>
                <w:sz w:val="24"/>
                <w:szCs w:val="24"/>
                <w:lang w:val="en-US" w:eastAsia="zh-CN" w:bidi="ar"/>
              </w:rPr>
              <w:t>设置不规范，不符合现有环保要求</w:t>
            </w:r>
            <w:r>
              <w:rPr>
                <w:rFonts w:hint="default" w:ascii="Times New Roman" w:hAnsi="Times New Roman" w:eastAsia="宋体" w:cs="Times New Roman"/>
                <w:kern w:val="0"/>
                <w:szCs w:val="24"/>
                <w:lang w:eastAsia="zh-CN"/>
              </w:rPr>
              <w:t>。</w:t>
            </w:r>
          </w:p>
          <w:p>
            <w:pPr>
              <w:pStyle w:val="17"/>
              <w:spacing w:before="0" w:beforeAutospacing="0" w:after="0" w:afterAutospacing="0" w:line="360" w:lineRule="auto"/>
              <w:ind w:firstLine="480" w:firstLineChars="200"/>
              <w:rPr>
                <w:rFonts w:hint="default" w:ascii="Times New Roman" w:hAnsi="Times New Roman" w:eastAsia="宋体" w:cs="Times New Roman"/>
                <w:kern w:val="0"/>
                <w:szCs w:val="24"/>
              </w:rPr>
            </w:pPr>
            <w:r>
              <w:rPr>
                <w:rFonts w:hint="default" w:ascii="Times New Roman" w:hAnsi="Times New Roman" w:eastAsia="宋体" w:cs="Times New Roman"/>
                <w:kern w:val="0"/>
                <w:szCs w:val="24"/>
                <w:lang w:eastAsia="zh-CN"/>
              </w:rPr>
              <w:t>（</w:t>
            </w:r>
            <w:r>
              <w:rPr>
                <w:rFonts w:hint="default" w:ascii="Times New Roman" w:hAnsi="Times New Roman" w:eastAsia="宋体" w:cs="Times New Roman"/>
                <w:kern w:val="0"/>
                <w:szCs w:val="24"/>
                <w:lang w:val="en-US" w:eastAsia="zh-CN"/>
              </w:rPr>
              <w:t>3</w:t>
            </w:r>
            <w:r>
              <w:rPr>
                <w:rFonts w:hint="default" w:ascii="Times New Roman" w:hAnsi="Times New Roman" w:eastAsia="宋体" w:cs="Times New Roman"/>
                <w:kern w:val="0"/>
                <w:szCs w:val="24"/>
                <w:lang w:eastAsia="zh-CN"/>
              </w:rPr>
              <w:t>）排污许可证未申领</w:t>
            </w:r>
            <w:r>
              <w:rPr>
                <w:rFonts w:hint="default" w:ascii="Times New Roman" w:hAnsi="Times New Roman" w:eastAsia="宋体" w:cs="Times New Roman"/>
                <w:kern w:val="0"/>
                <w:szCs w:val="24"/>
              </w:rPr>
              <w:t>。</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2、整改措施</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szCs w:val="24"/>
              </w:rPr>
              <w:t>（1）</w:t>
            </w:r>
            <w:r>
              <w:rPr>
                <w:rFonts w:hint="default" w:ascii="Times New Roman" w:hAnsi="Times New Roman" w:eastAsia="宋体" w:cs="Times New Roman"/>
                <w:kern w:val="0"/>
                <w:sz w:val="24"/>
                <w:szCs w:val="24"/>
                <w:lang w:eastAsia="zh-CN"/>
              </w:rPr>
              <w:t>将</w:t>
            </w:r>
            <w:r>
              <w:rPr>
                <w:rFonts w:hint="default" w:ascii="Times New Roman" w:hAnsi="Times New Roman" w:eastAsia="宋体" w:cs="Times New Roman"/>
                <w:kern w:val="0"/>
                <w:sz w:val="24"/>
                <w:lang w:eastAsia="zh-CN"/>
              </w:rPr>
              <w:t>空压机存放于隔间中，并设置减震措施</w:t>
            </w:r>
            <w:r>
              <w:rPr>
                <w:rFonts w:hint="default" w:ascii="Times New Roman" w:hAnsi="Times New Roman" w:eastAsia="宋体" w:cs="Times New Roman"/>
                <w:kern w:val="0"/>
                <w:sz w:val="24"/>
              </w:rPr>
              <w:t>。</w:t>
            </w:r>
          </w:p>
          <w:p>
            <w:pPr>
              <w:pStyle w:val="2"/>
              <w:spacing w:after="0" w:line="360" w:lineRule="auto"/>
              <w:ind w:left="0" w:leftChars="0" w:firstLine="480"/>
              <w:rPr>
                <w:rFonts w:hint="default" w:ascii="Times New Roman" w:hAnsi="Times New Roman" w:eastAsia="宋体" w:cs="Times New Roman"/>
                <w:kern w:val="0"/>
                <w:szCs w:val="24"/>
                <w:lang w:eastAsia="zh-CN"/>
              </w:rPr>
            </w:pPr>
            <w:r>
              <w:rPr>
                <w:rFonts w:hint="default" w:ascii="Times New Roman" w:hAnsi="Times New Roman" w:eastAsia="宋体" w:cs="Times New Roman"/>
                <w:kern w:val="0"/>
                <w:szCs w:val="24"/>
              </w:rPr>
              <w:t>（</w:t>
            </w:r>
            <w:r>
              <w:rPr>
                <w:rFonts w:hint="default" w:ascii="Times New Roman" w:hAnsi="Times New Roman" w:eastAsia="宋体" w:cs="Times New Roman"/>
                <w:kern w:val="0"/>
                <w:szCs w:val="24"/>
                <w:lang w:val="en-US" w:eastAsia="zh-CN"/>
              </w:rPr>
              <w:t>2</w:t>
            </w:r>
            <w:r>
              <w:rPr>
                <w:rFonts w:hint="default" w:ascii="Times New Roman" w:hAnsi="Times New Roman" w:eastAsia="宋体" w:cs="Times New Roman"/>
                <w:kern w:val="0"/>
                <w:szCs w:val="24"/>
              </w:rPr>
              <w:t>）</w:t>
            </w:r>
            <w:r>
              <w:rPr>
                <w:rFonts w:hint="default" w:ascii="Times New Roman" w:hAnsi="Times New Roman" w:eastAsia="宋体" w:cs="Times New Roman"/>
                <w:color w:val="000000"/>
                <w:kern w:val="0"/>
                <w:sz w:val="24"/>
                <w:szCs w:val="24"/>
                <w:lang w:val="en-US" w:eastAsia="zh-CN" w:bidi="ar"/>
              </w:rPr>
              <w:t>规范一般固废暂存区、危废间的设置，并设置相应标识</w:t>
            </w:r>
            <w:r>
              <w:rPr>
                <w:rFonts w:hint="default" w:ascii="Times New Roman" w:hAnsi="Times New Roman" w:eastAsia="宋体" w:cs="Times New Roman"/>
                <w:kern w:val="0"/>
                <w:szCs w:val="24"/>
                <w:lang w:eastAsia="zh-CN"/>
              </w:rPr>
              <w:t>。</w:t>
            </w:r>
          </w:p>
          <w:p>
            <w:pPr>
              <w:pStyle w:val="2"/>
              <w:spacing w:after="0" w:line="360" w:lineRule="auto"/>
              <w:ind w:left="0" w:leftChars="0" w:firstLine="480"/>
              <w:rPr>
                <w:rFonts w:hint="default" w:ascii="Times New Roman" w:hAnsi="Times New Roman" w:eastAsia="宋体" w:cs="Times New Roman"/>
                <w:kern w:val="0"/>
              </w:rPr>
            </w:pPr>
            <w:r>
              <w:rPr>
                <w:rFonts w:hint="default" w:ascii="Times New Roman" w:hAnsi="Times New Roman" w:eastAsia="宋体" w:cs="Times New Roman"/>
                <w:kern w:val="0"/>
                <w:szCs w:val="24"/>
                <w:lang w:eastAsia="zh-CN"/>
              </w:rPr>
              <w:t>（</w:t>
            </w:r>
            <w:r>
              <w:rPr>
                <w:rFonts w:hint="default" w:ascii="Times New Roman" w:hAnsi="Times New Roman" w:eastAsia="宋体" w:cs="Times New Roman"/>
                <w:kern w:val="0"/>
                <w:szCs w:val="24"/>
                <w:lang w:val="en-US" w:eastAsia="zh-CN"/>
              </w:rPr>
              <w:t>3</w:t>
            </w:r>
            <w:r>
              <w:rPr>
                <w:rFonts w:hint="default" w:ascii="Times New Roman" w:hAnsi="Times New Roman" w:eastAsia="宋体" w:cs="Times New Roman"/>
                <w:kern w:val="0"/>
                <w:szCs w:val="24"/>
                <w:lang w:eastAsia="zh-CN"/>
              </w:rPr>
              <w:t>）企业已经申领排污许可证，固定污染源登记回执编号为：91370306MA3BXC8A8L001W</w:t>
            </w:r>
            <w:r>
              <w:rPr>
                <w:rFonts w:hint="default" w:ascii="Times New Roman" w:hAnsi="Times New Roman" w:eastAsia="宋体" w:cs="Times New Roman"/>
                <w:kern w:val="0"/>
                <w:szCs w:val="24"/>
              </w:rPr>
              <w:t>。</w:t>
            </w:r>
          </w:p>
          <w:p>
            <w:pPr>
              <w:rPr>
                <w:rFonts w:hint="default" w:ascii="Times New Roman" w:hAnsi="Times New Roman" w:eastAsia="宋体" w:cs="Times New Roman"/>
                <w:kern w:val="0"/>
                <w:sz w:val="24"/>
              </w:rPr>
            </w:pPr>
          </w:p>
        </w:tc>
      </w:tr>
    </w:tbl>
    <w:p>
      <w:pPr>
        <w:pStyle w:val="17"/>
        <w:jc w:val="center"/>
        <w:rPr>
          <w:rFonts w:hint="default" w:ascii="Times New Roman" w:hAnsi="Times New Roman" w:eastAsia="宋体" w:cs="Times New Roman"/>
          <w:snapToGrid w:val="0"/>
          <w:kern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7"/>
        <w:adjustRightInd w:val="0"/>
        <w:snapToGrid w:val="0"/>
        <w:spacing w:before="0" w:beforeAutospacing="0" w:after="0" w:afterAutospacing="0" w:line="14" w:lineRule="auto"/>
        <w:jc w:val="center"/>
        <w:outlineLvl w:val="0"/>
        <w:rPr>
          <w:rFonts w:hint="default" w:ascii="Times New Roman" w:hAnsi="Times New Roman" w:eastAsia="宋体" w:cs="Times New Roman"/>
          <w:snapToGrid w:val="0"/>
          <w:kern w:val="0"/>
          <w:sz w:val="30"/>
          <w:szCs w:val="30"/>
        </w:rPr>
      </w:pPr>
    </w:p>
    <w:p>
      <w:pPr>
        <w:pStyle w:val="17"/>
        <w:adjustRightInd w:val="0"/>
        <w:snapToGrid w:val="0"/>
        <w:spacing w:before="0" w:beforeAutospacing="0" w:after="0" w:afterAutospacing="0"/>
        <w:jc w:val="center"/>
        <w:outlineLvl w:val="0"/>
        <w:rPr>
          <w:rFonts w:hint="default" w:ascii="Times New Roman" w:hAnsi="Times New Roman" w:eastAsia="宋体" w:cs="Times New Roman"/>
          <w:b/>
          <w:bCs/>
          <w:snapToGrid w:val="0"/>
          <w:kern w:val="0"/>
          <w:sz w:val="30"/>
          <w:szCs w:val="30"/>
        </w:rPr>
      </w:pPr>
      <w:r>
        <w:rPr>
          <w:rFonts w:hint="default" w:ascii="Times New Roman" w:hAnsi="Times New Roman" w:eastAsia="宋体" w:cs="Times New Roman"/>
          <w:b/>
          <w:bCs/>
          <w:snapToGrid w:val="0"/>
          <w:kern w:val="0"/>
          <w:sz w:val="30"/>
          <w:szCs w:val="30"/>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63" w:hRule="atLeast"/>
          <w:jc w:val="center"/>
        </w:trPr>
        <w:tc>
          <w:tcPr>
            <w:tcW w:w="800" w:type="dxa"/>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区域</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环境</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质量</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现状</w:t>
            </w:r>
          </w:p>
        </w:tc>
        <w:tc>
          <w:tcPr>
            <w:tcW w:w="8190" w:type="dxa"/>
            <w:vAlign w:val="center"/>
          </w:tcPr>
          <w:p>
            <w:pPr>
              <w:pStyle w:val="12"/>
              <w:adjustRightInd w:val="0"/>
              <w:spacing w:before="0" w:after="0" w:line="360" w:lineRule="auto"/>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rPr>
              <w:t>1、大气环境</w:t>
            </w:r>
          </w:p>
          <w:p>
            <w:pPr>
              <w:widowControl/>
              <w:adjustRightInd w:val="0"/>
              <w:snapToGrid w:val="0"/>
              <w:spacing w:line="360" w:lineRule="auto"/>
              <w:ind w:left="42" w:leftChars="20" w:right="42" w:rightChars="20"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）常规污染物环境质量现状：</w:t>
            </w:r>
          </w:p>
          <w:p>
            <w:pPr>
              <w:widowControl/>
              <w:adjustRightInd w:val="0"/>
              <w:snapToGrid w:val="0"/>
              <w:spacing w:line="360" w:lineRule="auto"/>
              <w:ind w:left="42" w:leftChars="20" w:right="42" w:rightChars="20"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根据</w:t>
            </w:r>
            <w:r>
              <w:rPr>
                <w:rFonts w:hint="default" w:ascii="Times New Roman" w:hAnsi="Times New Roman" w:eastAsia="宋体" w:cs="Times New Roman"/>
                <w:color w:val="auto"/>
                <w:kern w:val="0"/>
                <w:sz w:val="24"/>
                <w:szCs w:val="24"/>
                <w:lang w:eastAsia="zh-CN"/>
              </w:rPr>
              <w:t>淄博市生态环境局</w:t>
            </w:r>
            <w:r>
              <w:rPr>
                <w:rFonts w:hint="default" w:ascii="Times New Roman" w:hAnsi="Times New Roman" w:eastAsia="宋体" w:cs="Times New Roman"/>
                <w:color w:val="auto"/>
                <w:kern w:val="0"/>
                <w:sz w:val="24"/>
                <w:szCs w:val="24"/>
                <w:lang w:val="en-US" w:eastAsia="zh-CN"/>
              </w:rPr>
              <w:t>2021年1月27日</w:t>
            </w:r>
            <w:r>
              <w:rPr>
                <w:rFonts w:hint="default" w:ascii="Times New Roman" w:hAnsi="Times New Roman" w:eastAsia="宋体" w:cs="Times New Roman"/>
                <w:color w:val="auto"/>
                <w:kern w:val="0"/>
                <w:sz w:val="24"/>
                <w:szCs w:val="24"/>
              </w:rPr>
              <w:t>发布的《</w:t>
            </w:r>
            <w:r>
              <w:rPr>
                <w:rFonts w:hint="default" w:ascii="Times New Roman" w:hAnsi="Times New Roman" w:eastAsia="宋体" w:cs="Times New Roman"/>
                <w:color w:val="auto"/>
                <w:kern w:val="0"/>
                <w:sz w:val="24"/>
                <w:szCs w:val="24"/>
                <w:lang w:val="en-US" w:eastAsia="zh-CN"/>
              </w:rPr>
              <w:t>2020</w:t>
            </w:r>
            <w:r>
              <w:rPr>
                <w:rFonts w:hint="default" w:ascii="Times New Roman" w:hAnsi="Times New Roman" w:eastAsia="宋体" w:cs="Times New Roman"/>
                <w:color w:val="auto"/>
                <w:kern w:val="0"/>
                <w:sz w:val="24"/>
                <w:szCs w:val="24"/>
              </w:rPr>
              <w:t>年12月份及全年环境质量情况通报》</w:t>
            </w:r>
            <w:r>
              <w:rPr>
                <w:rFonts w:hint="default" w:ascii="Times New Roman" w:hAnsi="Times New Roman" w:eastAsia="宋体" w:cs="Times New Roman"/>
                <w:b/>
                <w:color w:val="auto"/>
                <w:kern w:val="0"/>
                <w:sz w:val="24"/>
                <w:szCs w:val="24"/>
              </w:rPr>
              <w:t>，</w:t>
            </w:r>
            <w:r>
              <w:rPr>
                <w:rFonts w:hint="default" w:ascii="Times New Roman" w:hAnsi="Times New Roman" w:eastAsia="宋体" w:cs="Times New Roman"/>
                <w:color w:val="auto"/>
                <w:kern w:val="0"/>
                <w:sz w:val="24"/>
                <w:szCs w:val="24"/>
              </w:rPr>
              <w:t>2020年度，全市良好天数218天（国控），同比增加38天。重污染天数12天，同比减少6天。6项主要污染物浓度及同比改善分别为：二氧化硫（SO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）17微克/立方米，同比改善15.0%；二氧化氮（NO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）38微克/立方米，同比改善9.5%；可吸入颗粒物（PM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）90微克/立方米，同比改善13.5%；细颗粒物（PM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）52微克/立方米，同比改善7.1%</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全市综合指数为5.64，同比改善9.5%。</w:t>
            </w:r>
          </w:p>
          <w:p>
            <w:pPr>
              <w:widowControl/>
              <w:snapToGrid w:val="0"/>
              <w:spacing w:line="360" w:lineRule="auto"/>
              <w:ind w:left="42" w:leftChars="20" w:right="42" w:rightChars="20"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其中，</w:t>
            </w:r>
            <w:r>
              <w:rPr>
                <w:rFonts w:hint="default" w:ascii="Times New Roman" w:hAnsi="Times New Roman" w:eastAsia="宋体" w:cs="Times New Roman"/>
                <w:color w:val="auto"/>
                <w:kern w:val="0"/>
                <w:sz w:val="24"/>
                <w:szCs w:val="24"/>
                <w:lang w:eastAsia="zh-CN"/>
              </w:rPr>
              <w:t>文昌湖区</w:t>
            </w:r>
            <w:r>
              <w:rPr>
                <w:rFonts w:hint="default" w:ascii="Times New Roman" w:hAnsi="Times New Roman" w:eastAsia="宋体" w:cs="Times New Roman"/>
                <w:color w:val="auto"/>
                <w:kern w:val="0"/>
                <w:sz w:val="24"/>
                <w:szCs w:val="24"/>
                <w:lang w:val="en-US" w:eastAsia="zh-CN"/>
              </w:rPr>
              <w:t>2020年度</w:t>
            </w:r>
            <w:r>
              <w:rPr>
                <w:rFonts w:hint="default" w:ascii="Times New Roman" w:hAnsi="Times New Roman" w:eastAsia="宋体" w:cs="Times New Roman"/>
                <w:color w:val="auto"/>
                <w:kern w:val="0"/>
                <w:sz w:val="24"/>
                <w:szCs w:val="24"/>
              </w:rPr>
              <w:t>污染物浓度</w:t>
            </w:r>
            <w:r>
              <w:rPr>
                <w:rFonts w:hint="default" w:ascii="Times New Roman" w:hAnsi="Times New Roman" w:eastAsia="宋体" w:cs="Times New Roman"/>
                <w:bCs/>
                <w:color w:val="auto"/>
                <w:kern w:val="0"/>
                <w:sz w:val="24"/>
                <w:szCs w:val="24"/>
              </w:rPr>
              <w:t>统计</w:t>
            </w:r>
            <w:r>
              <w:rPr>
                <w:rFonts w:hint="default" w:ascii="Times New Roman" w:hAnsi="Times New Roman" w:eastAsia="宋体" w:cs="Times New Roman"/>
                <w:color w:val="auto"/>
                <w:kern w:val="0"/>
                <w:sz w:val="24"/>
                <w:szCs w:val="24"/>
              </w:rPr>
              <w:t>如下：</w:t>
            </w:r>
          </w:p>
          <w:p>
            <w:pPr>
              <w:widowControl/>
              <w:snapToGrid w:val="0"/>
              <w:spacing w:line="240" w:lineRule="auto"/>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color w:val="auto"/>
                <w:kern w:val="0"/>
                <w:sz w:val="24"/>
                <w:szCs w:val="24"/>
              </w:rPr>
              <w:t>表</w:t>
            </w:r>
            <w:r>
              <w:rPr>
                <w:rFonts w:hint="eastAsia" w:ascii="Times New Roman" w:hAnsi="Times New Roman" w:eastAsia="宋体" w:cs="Times New Roman"/>
                <w:b/>
                <w:color w:val="auto"/>
                <w:kern w:val="0"/>
                <w:sz w:val="24"/>
                <w:szCs w:val="24"/>
                <w:lang w:val="en-US" w:eastAsia="zh-CN"/>
              </w:rPr>
              <w:t>3-1</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文昌湖区</w:t>
            </w:r>
            <w:r>
              <w:rPr>
                <w:rFonts w:hint="default" w:ascii="Times New Roman" w:hAnsi="Times New Roman" w:eastAsia="宋体" w:cs="Times New Roman"/>
                <w:b/>
                <w:color w:val="auto"/>
                <w:kern w:val="0"/>
                <w:sz w:val="24"/>
                <w:szCs w:val="24"/>
                <w:lang w:val="en-US" w:eastAsia="zh-CN"/>
              </w:rPr>
              <w:t>2020年</w:t>
            </w:r>
            <w:r>
              <w:rPr>
                <w:rFonts w:hint="default" w:ascii="Times New Roman" w:hAnsi="Times New Roman" w:eastAsia="宋体" w:cs="Times New Roman"/>
                <w:b/>
                <w:color w:val="auto"/>
                <w:kern w:val="0"/>
                <w:sz w:val="24"/>
                <w:szCs w:val="24"/>
              </w:rPr>
              <w:t>污染物平均浓度</w:t>
            </w:r>
            <w:r>
              <w:rPr>
                <w:rFonts w:hint="default" w:ascii="Times New Roman" w:hAnsi="Times New Roman" w:eastAsia="宋体" w:cs="Times New Roman"/>
                <w:b/>
                <w:bCs/>
                <w:color w:val="auto"/>
                <w:kern w:val="0"/>
                <w:sz w:val="24"/>
                <w:szCs w:val="24"/>
              </w:rPr>
              <w:t>统计表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124"/>
              <w:gridCol w:w="1068"/>
              <w:gridCol w:w="1096"/>
              <w:gridCol w:w="1096"/>
              <w:gridCol w:w="1096"/>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97" w:type="pct"/>
                  <w:noWrap w:val="0"/>
                  <w:vAlign w:val="center"/>
                </w:tcPr>
                <w:p>
                  <w:pPr>
                    <w:widowControl/>
                    <w:snapToGrid w:val="0"/>
                    <w:spacing w:line="240" w:lineRule="auto"/>
                    <w:ind w:right="42" w:rightChars="2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项目</w:t>
                  </w:r>
                </w:p>
              </w:tc>
              <w:tc>
                <w:tcPr>
                  <w:tcW w:w="701" w:type="pct"/>
                  <w:noWrap w:val="0"/>
                  <w:vAlign w:val="center"/>
                </w:tcPr>
                <w:p>
                  <w:pPr>
                    <w:snapToGrid w:val="0"/>
                    <w:spacing w:line="240" w:lineRule="auto"/>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PM</w:t>
                  </w:r>
                  <w:r>
                    <w:rPr>
                      <w:rFonts w:hint="default" w:ascii="Times New Roman" w:hAnsi="Times New Roman" w:eastAsia="宋体" w:cs="Times New Roman"/>
                      <w:b/>
                      <w:bCs w:val="0"/>
                      <w:color w:val="auto"/>
                      <w:kern w:val="0"/>
                      <w:sz w:val="21"/>
                      <w:szCs w:val="21"/>
                      <w:vertAlign w:val="subscript"/>
                    </w:rPr>
                    <w:t>2.5</w:t>
                  </w:r>
                </w:p>
              </w:tc>
              <w:tc>
                <w:tcPr>
                  <w:tcW w:w="666" w:type="pct"/>
                  <w:noWrap w:val="0"/>
                  <w:vAlign w:val="center"/>
                </w:tcPr>
                <w:p>
                  <w:pPr>
                    <w:snapToGrid w:val="0"/>
                    <w:spacing w:line="240" w:lineRule="auto"/>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PM</w:t>
                  </w:r>
                  <w:r>
                    <w:rPr>
                      <w:rFonts w:hint="default" w:ascii="Times New Roman" w:hAnsi="Times New Roman" w:eastAsia="宋体" w:cs="Times New Roman"/>
                      <w:b/>
                      <w:bCs w:val="0"/>
                      <w:color w:val="auto"/>
                      <w:kern w:val="0"/>
                      <w:sz w:val="21"/>
                      <w:szCs w:val="21"/>
                      <w:vertAlign w:val="subscript"/>
                    </w:rPr>
                    <w:t>10</w:t>
                  </w:r>
                </w:p>
              </w:tc>
              <w:tc>
                <w:tcPr>
                  <w:tcW w:w="683" w:type="pct"/>
                  <w:noWrap w:val="0"/>
                  <w:vAlign w:val="center"/>
                </w:tcPr>
                <w:p>
                  <w:pPr>
                    <w:snapToGrid w:val="0"/>
                    <w:spacing w:line="240" w:lineRule="auto"/>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NO</w:t>
                  </w:r>
                  <w:r>
                    <w:rPr>
                      <w:rFonts w:hint="default" w:ascii="Times New Roman" w:hAnsi="Times New Roman" w:eastAsia="宋体" w:cs="Times New Roman"/>
                      <w:b/>
                      <w:bCs w:val="0"/>
                      <w:color w:val="auto"/>
                      <w:kern w:val="0"/>
                      <w:sz w:val="21"/>
                      <w:szCs w:val="21"/>
                      <w:vertAlign w:val="subscript"/>
                    </w:rPr>
                    <w:t>2</w:t>
                  </w:r>
                </w:p>
              </w:tc>
              <w:tc>
                <w:tcPr>
                  <w:tcW w:w="683" w:type="pct"/>
                  <w:noWrap w:val="0"/>
                  <w:vAlign w:val="center"/>
                </w:tcPr>
                <w:p>
                  <w:pPr>
                    <w:snapToGrid w:val="0"/>
                    <w:spacing w:line="240" w:lineRule="auto"/>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SO</w:t>
                  </w:r>
                  <w:r>
                    <w:rPr>
                      <w:rFonts w:hint="default" w:ascii="Times New Roman" w:hAnsi="Times New Roman" w:eastAsia="宋体" w:cs="Times New Roman"/>
                      <w:b/>
                      <w:bCs w:val="0"/>
                      <w:color w:val="auto"/>
                      <w:kern w:val="0"/>
                      <w:sz w:val="21"/>
                      <w:szCs w:val="21"/>
                      <w:vertAlign w:val="subscript"/>
                    </w:rPr>
                    <w:t>2</w:t>
                  </w:r>
                </w:p>
              </w:tc>
              <w:tc>
                <w:tcPr>
                  <w:tcW w:w="683" w:type="pct"/>
                  <w:noWrap w:val="0"/>
                  <w:vAlign w:val="center"/>
                </w:tcPr>
                <w:p>
                  <w:pPr>
                    <w:snapToGrid w:val="0"/>
                    <w:spacing w:line="240" w:lineRule="auto"/>
                    <w:jc w:val="center"/>
                    <w:rPr>
                      <w:rFonts w:hint="default"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kern w:val="0"/>
                      <w:sz w:val="21"/>
                      <w:szCs w:val="21"/>
                      <w:lang w:val="en-US" w:eastAsia="zh-CN"/>
                    </w:rPr>
                    <w:t>O</w:t>
                  </w:r>
                  <w:r>
                    <w:rPr>
                      <w:rFonts w:hint="eastAsia" w:ascii="Times New Roman" w:hAnsi="Times New Roman" w:eastAsia="宋体" w:cs="Times New Roman"/>
                      <w:b/>
                      <w:bCs w:val="0"/>
                      <w:color w:val="auto"/>
                      <w:kern w:val="0"/>
                      <w:sz w:val="21"/>
                      <w:szCs w:val="21"/>
                      <w:vertAlign w:val="subscript"/>
                      <w:lang w:val="en-US" w:eastAsia="zh-CN"/>
                    </w:rPr>
                    <w:t>3</w:t>
                  </w:r>
                </w:p>
              </w:tc>
              <w:tc>
                <w:tcPr>
                  <w:tcW w:w="683" w:type="pct"/>
                  <w:noWrap w:val="0"/>
                  <w:vAlign w:val="center"/>
                </w:tcPr>
                <w:p>
                  <w:pPr>
                    <w:snapToGrid w:val="0"/>
                    <w:spacing w:line="240" w:lineRule="auto"/>
                    <w:jc w:val="center"/>
                    <w:rPr>
                      <w:rFonts w:hint="default"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kern w:val="0"/>
                      <w:sz w:val="21"/>
                      <w:szCs w:val="21"/>
                      <w:lang w:val="en-US" w:eastAsia="zh-CN"/>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97" w:type="pct"/>
                  <w:noWrap w:val="0"/>
                  <w:vAlign w:val="center"/>
                </w:tcPr>
                <w:p>
                  <w:pPr>
                    <w:widowControl/>
                    <w:snapToGrid w:val="0"/>
                    <w:spacing w:line="240" w:lineRule="auto"/>
                    <w:ind w:right="42" w:rightChars="2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浓度，mg/m</w:t>
                  </w:r>
                  <w:r>
                    <w:rPr>
                      <w:rFonts w:hint="default" w:ascii="Times New Roman" w:hAnsi="Times New Roman" w:eastAsia="宋体" w:cs="Times New Roman"/>
                      <w:color w:val="auto"/>
                      <w:kern w:val="0"/>
                      <w:sz w:val="21"/>
                      <w:szCs w:val="21"/>
                      <w:vertAlign w:val="superscript"/>
                    </w:rPr>
                    <w:t>3</w:t>
                  </w:r>
                </w:p>
              </w:tc>
              <w:tc>
                <w:tcPr>
                  <w:tcW w:w="701" w:type="pct"/>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50</w:t>
                  </w:r>
                </w:p>
              </w:tc>
              <w:tc>
                <w:tcPr>
                  <w:tcW w:w="666" w:type="pct"/>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94</w:t>
                  </w:r>
                </w:p>
              </w:tc>
              <w:tc>
                <w:tcPr>
                  <w:tcW w:w="683" w:type="pct"/>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38</w:t>
                  </w:r>
                </w:p>
              </w:tc>
              <w:tc>
                <w:tcPr>
                  <w:tcW w:w="683" w:type="pct"/>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w:t>
                  </w:r>
                </w:p>
              </w:tc>
              <w:tc>
                <w:tcPr>
                  <w:tcW w:w="683" w:type="pct"/>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0.188</w:t>
                  </w:r>
                </w:p>
              </w:tc>
              <w:tc>
                <w:tcPr>
                  <w:tcW w:w="683" w:type="pct"/>
                  <w:noWrap w:val="0"/>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w:t>
                  </w:r>
                </w:p>
              </w:tc>
            </w:tr>
          </w:tbl>
          <w:p>
            <w:pPr>
              <w:adjustRightInd w:val="0"/>
              <w:snapToGrid w:val="0"/>
              <w:spacing w:line="360" w:lineRule="auto"/>
              <w:ind w:firstLine="480" w:firstLineChars="200"/>
              <w:rPr>
                <w:rFonts w:hint="default" w:ascii="Times New Roman" w:hAnsi="Times New Roman" w:eastAsia="宋体" w:cs="Times New Roman"/>
                <w:b/>
                <w:color w:val="auto"/>
                <w:kern w:val="0"/>
                <w:sz w:val="24"/>
                <w:szCs w:val="24"/>
                <w:lang w:eastAsia="zh-CN"/>
              </w:rPr>
            </w:pPr>
            <w:r>
              <w:rPr>
                <w:rFonts w:hint="default" w:ascii="Times New Roman" w:hAnsi="Times New Roman" w:eastAsia="宋体" w:cs="Times New Roman"/>
                <w:color w:val="auto"/>
                <w:kern w:val="0"/>
                <w:sz w:val="24"/>
                <w:szCs w:val="24"/>
                <w:lang w:eastAsia="zh-CN"/>
              </w:rPr>
              <w:t>根据《环境影响评价技术导则大气环境》（HJ/2.2-2018）对项目所在区域环境空气质量进行达标判断，见下表。</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eastAsia="zh-CN"/>
              </w:rPr>
              <w:t>表</w:t>
            </w:r>
            <w:r>
              <w:rPr>
                <w:rFonts w:hint="eastAsia" w:ascii="Times New Roman" w:hAnsi="Times New Roman" w:eastAsia="宋体" w:cs="Times New Roman"/>
                <w:b/>
                <w:color w:val="auto"/>
                <w:kern w:val="0"/>
                <w:sz w:val="24"/>
                <w:szCs w:val="24"/>
                <w:lang w:val="en-US" w:eastAsia="zh-CN"/>
              </w:rPr>
              <w:t>3-2</w:t>
            </w:r>
            <w:r>
              <w:rPr>
                <w:rFonts w:hint="default" w:ascii="Times New Roman" w:hAnsi="Times New Roman" w:eastAsia="宋体" w:cs="Times New Roman"/>
                <w:b/>
                <w:color w:val="auto"/>
                <w:kern w:val="0"/>
                <w:sz w:val="24"/>
                <w:szCs w:val="24"/>
                <w:lang w:val="en-US" w:eastAsia="zh-CN"/>
              </w:rPr>
              <w:t xml:space="preserve"> 文昌湖区2020年度环境空气质量达标判断</w:t>
            </w:r>
          </w:p>
          <w:tbl>
            <w:tblPr>
              <w:tblStyle w:val="1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280"/>
              <w:gridCol w:w="1464"/>
              <w:gridCol w:w="1597"/>
              <w:gridCol w:w="1474"/>
              <w:gridCol w:w="1144"/>
              <w:gridCol w:w="104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5" w:hRule="atLeast"/>
                <w:jc w:val="center"/>
              </w:trPr>
              <w:tc>
                <w:tcPr>
                  <w:tcW w:w="7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污染物</w:t>
                  </w:r>
                </w:p>
              </w:tc>
              <w:tc>
                <w:tcPr>
                  <w:tcW w:w="9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平均指标</w:t>
                  </w:r>
                </w:p>
              </w:tc>
              <w:tc>
                <w:tcPr>
                  <w:tcW w:w="9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现状浓度</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μg/m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lang w:val="en-US" w:eastAsia="zh-CN"/>
                    </w:rPr>
                    <w:t>)</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标准值</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μg/m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lang w:val="en-US" w:eastAsia="zh-CN"/>
                    </w:rPr>
                    <w:t>)</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占比率（</w:t>
                  </w:r>
                  <w:r>
                    <w:rPr>
                      <w:rFonts w:hint="default" w:ascii="Times New Roman" w:hAnsi="Times New Roman" w:eastAsia="宋体" w:cs="Times New Roman"/>
                      <w:color w:val="auto"/>
                      <w:kern w:val="0"/>
                      <w:sz w:val="21"/>
                      <w:szCs w:val="21"/>
                      <w:lang w:val="en-US" w:eastAsia="zh-CN"/>
                    </w:rPr>
                    <w:t>%）</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2" w:hRule="atLeast"/>
                <w:jc w:val="center"/>
              </w:trPr>
              <w:tc>
                <w:tcPr>
                  <w:tcW w:w="7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SO</w:t>
                  </w:r>
                  <w:r>
                    <w:rPr>
                      <w:rFonts w:hint="default" w:ascii="Times New Roman" w:hAnsi="Times New Roman" w:eastAsia="宋体" w:cs="Times New Roman"/>
                      <w:color w:val="auto"/>
                      <w:kern w:val="0"/>
                      <w:sz w:val="21"/>
                      <w:szCs w:val="21"/>
                      <w:vertAlign w:val="subscript"/>
                      <w:lang w:val="en-US" w:eastAsia="zh-CN"/>
                    </w:rPr>
                    <w:t>2</w:t>
                  </w:r>
                </w:p>
              </w:tc>
              <w:tc>
                <w:tcPr>
                  <w:tcW w:w="91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年平均质量浓度</w:t>
                  </w:r>
                </w:p>
              </w:tc>
              <w:tc>
                <w:tcPr>
                  <w:tcW w:w="9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32</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2" w:hRule="atLeast"/>
                <w:jc w:val="center"/>
              </w:trPr>
              <w:tc>
                <w:tcPr>
                  <w:tcW w:w="7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NO</w:t>
                  </w:r>
                  <w:r>
                    <w:rPr>
                      <w:rFonts w:hint="default" w:ascii="Times New Roman" w:hAnsi="Times New Roman" w:eastAsia="宋体" w:cs="Times New Roman"/>
                      <w:color w:val="auto"/>
                      <w:kern w:val="0"/>
                      <w:sz w:val="21"/>
                      <w:szCs w:val="21"/>
                      <w:vertAlign w:val="subscript"/>
                      <w:lang w:val="en-US" w:eastAsia="zh-CN"/>
                    </w:rPr>
                    <w:t>2</w:t>
                  </w:r>
                </w:p>
              </w:tc>
              <w:tc>
                <w:tcPr>
                  <w:tcW w:w="9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p>
              </w:tc>
              <w:tc>
                <w:tcPr>
                  <w:tcW w:w="9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38</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95</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3" w:hRule="atLeast"/>
                <w:jc w:val="center"/>
              </w:trPr>
              <w:tc>
                <w:tcPr>
                  <w:tcW w:w="7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PM</w:t>
                  </w:r>
                  <w:r>
                    <w:rPr>
                      <w:rFonts w:hint="default" w:ascii="Times New Roman" w:hAnsi="Times New Roman" w:eastAsia="宋体" w:cs="Times New Roman"/>
                      <w:color w:val="auto"/>
                      <w:kern w:val="0"/>
                      <w:sz w:val="21"/>
                      <w:szCs w:val="21"/>
                      <w:vertAlign w:val="subscript"/>
                      <w:lang w:val="en-US" w:eastAsia="zh-CN"/>
                    </w:rPr>
                    <w:t>10</w:t>
                  </w:r>
                </w:p>
              </w:tc>
              <w:tc>
                <w:tcPr>
                  <w:tcW w:w="9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p>
              </w:tc>
              <w:tc>
                <w:tcPr>
                  <w:tcW w:w="9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94</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134</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不达标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7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PM</w:t>
                  </w:r>
                  <w:r>
                    <w:rPr>
                      <w:rFonts w:hint="default" w:ascii="Times New Roman" w:hAnsi="Times New Roman" w:eastAsia="宋体" w:cs="Times New Roman"/>
                      <w:color w:val="auto"/>
                      <w:kern w:val="0"/>
                      <w:sz w:val="21"/>
                      <w:szCs w:val="21"/>
                      <w:vertAlign w:val="subscript"/>
                      <w:lang w:val="en-US" w:eastAsia="zh-CN"/>
                    </w:rPr>
                    <w:t>2.5</w:t>
                  </w:r>
                </w:p>
              </w:tc>
              <w:tc>
                <w:tcPr>
                  <w:tcW w:w="9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p>
              </w:tc>
              <w:tc>
                <w:tcPr>
                  <w:tcW w:w="9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50</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143</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不达标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7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O</w:t>
                  </w:r>
                  <w:r>
                    <w:rPr>
                      <w:rFonts w:hint="eastAsia" w:ascii="Times New Roman" w:hAnsi="Times New Roman" w:eastAsia="宋体" w:cs="Times New Roman"/>
                      <w:color w:val="auto"/>
                      <w:kern w:val="0"/>
                      <w:sz w:val="21"/>
                      <w:szCs w:val="21"/>
                      <w:vertAlign w:val="subscript"/>
                      <w:lang w:val="en-US" w:eastAsia="zh-CN"/>
                    </w:rPr>
                    <w:t>3</w:t>
                  </w:r>
                </w:p>
              </w:tc>
              <w:tc>
                <w:tcPr>
                  <w:tcW w:w="9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90%保证率日最大8h滑动平均浓度（共365个有效数据，第329大值）</w:t>
                  </w:r>
                </w:p>
              </w:tc>
              <w:tc>
                <w:tcPr>
                  <w:tcW w:w="9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188</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117.5</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不达标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7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CO</w:t>
                  </w:r>
                </w:p>
              </w:tc>
              <w:tc>
                <w:tcPr>
                  <w:tcW w:w="9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95%保证率日平均浓度（共363个有效数据，第345大值）</w:t>
                  </w:r>
                </w:p>
              </w:tc>
              <w:tc>
                <w:tcPr>
                  <w:tcW w:w="9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1800</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4000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45.0</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达标</w:t>
                  </w:r>
                </w:p>
              </w:tc>
            </w:tr>
          </w:tbl>
          <w:p>
            <w:pPr>
              <w:widowControl/>
              <w:adjustRightInd w:val="0"/>
              <w:snapToGrid w:val="0"/>
              <w:spacing w:line="360" w:lineRule="auto"/>
              <w:ind w:firstLine="493"/>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根据上表，项目区域环境空气质量SO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vertAlign w:val="baseline"/>
                <w:lang w:eastAsia="zh-CN"/>
              </w:rPr>
              <w:t>、</w:t>
            </w:r>
            <w:r>
              <w:rPr>
                <w:rFonts w:hint="eastAsia" w:cs="Times New Roman"/>
                <w:color w:val="auto"/>
                <w:kern w:val="0"/>
                <w:sz w:val="24"/>
                <w:szCs w:val="24"/>
                <w:vertAlign w:val="baseline"/>
                <w:lang w:val="en-US" w:eastAsia="zh-CN"/>
              </w:rPr>
              <w:t>CO</w:t>
            </w:r>
            <w:r>
              <w:rPr>
                <w:rFonts w:hint="default" w:ascii="Times New Roman" w:hAnsi="Times New Roman" w:eastAsia="宋体" w:cs="Times New Roman"/>
                <w:color w:val="auto"/>
                <w:kern w:val="0"/>
                <w:sz w:val="24"/>
                <w:szCs w:val="24"/>
              </w:rPr>
              <w:t>可以满足《环境空气质量标准》</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GB3095-2012</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二级年均值标准，PM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O</w:t>
            </w:r>
            <w:r>
              <w:rPr>
                <w:rFonts w:hint="eastAsia" w:ascii="Times New Roman" w:hAnsi="Times New Roman" w:eastAsia="宋体" w:cs="Times New Roman"/>
                <w:color w:val="auto"/>
                <w:kern w:val="0"/>
                <w:sz w:val="24"/>
                <w:szCs w:val="24"/>
                <w:vertAlign w:val="subscript"/>
                <w:lang w:val="en-US" w:eastAsia="zh-CN"/>
              </w:rPr>
              <w:t>3</w:t>
            </w:r>
            <w:r>
              <w:rPr>
                <w:rFonts w:hint="default" w:ascii="Times New Roman" w:hAnsi="Times New Roman" w:eastAsia="宋体" w:cs="Times New Roman"/>
                <w:color w:val="auto"/>
                <w:kern w:val="0"/>
                <w:sz w:val="24"/>
                <w:szCs w:val="24"/>
              </w:rPr>
              <w:t>无法满足</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超标原因主要是由于</w:t>
            </w:r>
            <w:r>
              <w:rPr>
                <w:rFonts w:hint="default" w:ascii="Times New Roman" w:hAnsi="Times New Roman" w:eastAsia="宋体" w:cs="Times New Roman"/>
                <w:color w:val="auto"/>
                <w:kern w:val="0"/>
                <w:sz w:val="24"/>
                <w:szCs w:val="24"/>
                <w:lang w:eastAsia="zh-CN"/>
              </w:rPr>
              <w:t>文昌湖区</w:t>
            </w:r>
            <w:r>
              <w:rPr>
                <w:rFonts w:hint="default" w:ascii="Times New Roman" w:hAnsi="Times New Roman" w:eastAsia="宋体" w:cs="Times New Roman"/>
                <w:color w:val="auto"/>
                <w:kern w:val="0"/>
                <w:sz w:val="24"/>
                <w:szCs w:val="24"/>
              </w:rPr>
              <w:t>地处我国的北方地区，干旱少雨、风沙较大，同时机动车辆的迅速发展所带来的汽车尾气也是</w:t>
            </w:r>
            <w:r>
              <w:rPr>
                <w:rFonts w:hint="eastAsia" w:cs="Times New Roman"/>
                <w:color w:val="auto"/>
                <w:kern w:val="0"/>
                <w:sz w:val="24"/>
                <w:szCs w:val="24"/>
                <w:lang w:eastAsia="zh-CN"/>
              </w:rPr>
              <w:t>一个</w:t>
            </w:r>
            <w:r>
              <w:rPr>
                <w:rFonts w:hint="default" w:ascii="Times New Roman" w:hAnsi="Times New Roman" w:eastAsia="宋体" w:cs="Times New Roman"/>
                <w:color w:val="auto"/>
                <w:kern w:val="0"/>
                <w:sz w:val="24"/>
                <w:szCs w:val="24"/>
              </w:rPr>
              <w:t>重要原因。建议评价区域采取以下措施：区域集中供热；植树造林；改善能源结构，提高利用率；全面规划，合理布局，逐步改善环境空气质量。</w:t>
            </w:r>
          </w:p>
          <w:p>
            <w:pPr>
              <w:snapToGrid w:val="0"/>
              <w:spacing w:line="360" w:lineRule="auto"/>
              <w:ind w:firstLine="480" w:firstLineChars="200"/>
              <w:jc w:val="left"/>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在淄博市生态环境局及</w:t>
            </w:r>
            <w:r>
              <w:rPr>
                <w:rFonts w:hint="default" w:ascii="Times New Roman" w:hAnsi="Times New Roman" w:eastAsia="宋体" w:cs="Times New Roman"/>
                <w:color w:val="auto"/>
                <w:kern w:val="0"/>
                <w:sz w:val="24"/>
                <w:szCs w:val="24"/>
                <w:lang w:eastAsia="zh-CN"/>
              </w:rPr>
              <w:t>淄博文昌湖省级旅游度假区管理委员会安全生产监管和环境保护局</w:t>
            </w:r>
            <w:r>
              <w:rPr>
                <w:rFonts w:hint="default" w:ascii="Times New Roman" w:hAnsi="Times New Roman" w:eastAsia="宋体" w:cs="Times New Roman"/>
                <w:color w:val="auto"/>
                <w:kern w:val="0"/>
                <w:sz w:val="24"/>
                <w:szCs w:val="24"/>
              </w:rPr>
              <w:t>的不懈努力下，以上</w:t>
            </w:r>
            <w:r>
              <w:rPr>
                <w:rFonts w:hint="eastAsia" w:cs="Times New Roman"/>
                <w:color w:val="auto"/>
                <w:kern w:val="0"/>
                <w:sz w:val="24"/>
                <w:szCs w:val="24"/>
                <w:lang w:eastAsia="zh-CN"/>
              </w:rPr>
              <w:t>四</w:t>
            </w:r>
            <w:r>
              <w:rPr>
                <w:rFonts w:hint="default" w:ascii="Times New Roman" w:hAnsi="Times New Roman" w:eastAsia="宋体" w:cs="Times New Roman"/>
                <w:color w:val="auto"/>
                <w:kern w:val="0"/>
                <w:sz w:val="24"/>
                <w:szCs w:val="24"/>
              </w:rPr>
              <w:t>项主要污染物将得到改善。</w:t>
            </w:r>
          </w:p>
          <w:p>
            <w:pPr>
              <w:adjustRightInd w:val="0"/>
              <w:snapToGrid w:val="0"/>
              <w:spacing w:line="360" w:lineRule="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2、地表水环境</w:t>
            </w:r>
          </w:p>
          <w:p>
            <w:pPr>
              <w:adjustRightInd w:val="0"/>
              <w:snapToGrid w:val="0"/>
              <w:spacing w:line="360" w:lineRule="auto"/>
              <w:ind w:firstLine="480" w:firstLineChars="200"/>
              <w:rPr>
                <w:rFonts w:hint="default" w:ascii="Times New Roman" w:hAnsi="Times New Roman" w:eastAsia="宋体" w:cs="Times New Roman"/>
                <w:color w:val="0C0C0C"/>
                <w:kern w:val="0"/>
                <w:sz w:val="24"/>
              </w:rPr>
            </w:pPr>
            <w:r>
              <w:rPr>
                <w:rFonts w:hint="default" w:ascii="Times New Roman" w:hAnsi="Times New Roman" w:eastAsia="宋体" w:cs="Times New Roman"/>
                <w:color w:val="0C0C0C"/>
                <w:kern w:val="0"/>
                <w:sz w:val="24"/>
              </w:rPr>
              <w:t>根据2021年1月27日淄博市生态环境局网站发布的《2020年12月份及全年环境质量情况通报》数据可知，水环境标准达标指数前3名为高青县、文昌湖区、高新区。倒数后3名分别为临淄区、博山区、沂源县。水环境质量最好的3个区县依次为沂源县、文昌湖区、高青县。最差的3个区县依次为临淄区、博山区、桓台县。临淄区乌河东沙断面氨氮超标，博山区西龙角断面氨氮超标。</w:t>
            </w:r>
          </w:p>
          <w:p>
            <w:pPr>
              <w:adjustRightInd w:val="0"/>
              <w:snapToGrid w:val="0"/>
              <w:spacing w:line="360" w:lineRule="auto"/>
              <w:ind w:firstLine="480" w:firstLineChars="200"/>
              <w:rPr>
                <w:rFonts w:hint="default" w:ascii="Times New Roman" w:hAnsi="Times New Roman" w:eastAsia="宋体" w:cs="Times New Roman"/>
                <w:color w:val="0C0C0C"/>
                <w:kern w:val="0"/>
                <w:sz w:val="24"/>
              </w:rPr>
            </w:pPr>
            <w:r>
              <w:rPr>
                <w:rFonts w:hint="default" w:ascii="Times New Roman" w:hAnsi="Times New Roman" w:eastAsia="宋体" w:cs="Times New Roman"/>
                <w:color w:val="0C0C0C"/>
                <w:kern w:val="0"/>
                <w:sz w:val="24"/>
              </w:rPr>
              <w:t>依据河流断面水质在线自动监测数据，河流断面水质COD浓度最低的是沂河韩旺断面，浓度为9毫克/升，浓度最高的是桓台乌河入预备河处，浓度为23.7毫克/升；同比改善幅度最大的是文昌湖张博附线，改善28%。同比恶化幅度最大的是临淄东沙河断面，恶化9%河流断面水质氨氮浓度最低的是沂河韩旺断面，浓度为0.04毫克/升，浓度最高的是博山西龙角断面，浓度为1.95毫克/升；同比改善幅度最大的是沂源韩旺、高青道旭渡断面，改善33%。同比恶化幅度最大的是临淄乌河东沙断面，恶化107%。</w:t>
            </w:r>
          </w:p>
          <w:p>
            <w:pPr>
              <w:adjustRightInd w:val="0"/>
              <w:snapToGrid w:val="0"/>
              <w:spacing w:line="360" w:lineRule="auto"/>
              <w:ind w:firstLine="480" w:firstLineChars="200"/>
              <w:rPr>
                <w:rFonts w:hint="default" w:ascii="Times New Roman" w:hAnsi="Times New Roman" w:eastAsia="宋体" w:cs="Times New Roman"/>
                <w:color w:val="0C0C0C"/>
                <w:kern w:val="0"/>
                <w:sz w:val="24"/>
              </w:rPr>
            </w:pPr>
            <w:r>
              <w:rPr>
                <w:rFonts w:hint="default" w:ascii="Times New Roman" w:hAnsi="Times New Roman" w:eastAsia="宋体" w:cs="Times New Roman"/>
                <w:color w:val="0C0C0C"/>
                <w:kern w:val="0"/>
                <w:sz w:val="24"/>
              </w:rPr>
              <w:t>距离</w:t>
            </w:r>
            <w:r>
              <w:rPr>
                <w:rFonts w:hint="eastAsia" w:ascii="Times New Roman" w:hAnsi="Times New Roman" w:eastAsia="宋体" w:cs="Times New Roman"/>
                <w:color w:val="0C0C0C"/>
                <w:kern w:val="0"/>
                <w:sz w:val="24"/>
                <w:lang w:eastAsia="zh-CN"/>
              </w:rPr>
              <w:t>技改项目</w:t>
            </w:r>
            <w:r>
              <w:rPr>
                <w:rFonts w:hint="default" w:ascii="Times New Roman" w:hAnsi="Times New Roman" w:eastAsia="宋体" w:cs="Times New Roman"/>
                <w:color w:val="0C0C0C"/>
                <w:kern w:val="0"/>
                <w:sz w:val="24"/>
              </w:rPr>
              <w:t>最近的地表水体为范阳河，根据淄博市生态环境局网站发布的《2021年</w:t>
            </w:r>
            <w:r>
              <w:rPr>
                <w:rFonts w:hint="default" w:ascii="Times New Roman" w:hAnsi="Times New Roman" w:eastAsia="宋体" w:cs="Times New Roman"/>
                <w:color w:val="0C0C0C"/>
                <w:kern w:val="0"/>
                <w:sz w:val="24"/>
                <w:lang w:val="en-US" w:eastAsia="zh-CN"/>
              </w:rPr>
              <w:t>9</w:t>
            </w:r>
            <w:r>
              <w:rPr>
                <w:rFonts w:hint="default" w:ascii="Times New Roman" w:hAnsi="Times New Roman" w:eastAsia="宋体" w:cs="Times New Roman"/>
                <w:color w:val="0C0C0C"/>
                <w:kern w:val="0"/>
                <w:sz w:val="24"/>
              </w:rPr>
              <w:t>月份环境质量情况通报》数据可知，范阳河张博路附线站点水质</w:t>
            </w:r>
            <w:r>
              <w:rPr>
                <w:rFonts w:hint="default" w:ascii="Times New Roman" w:hAnsi="Times New Roman" w:eastAsia="宋体" w:cs="Times New Roman"/>
                <w:color w:val="0C0C0C"/>
                <w:kern w:val="0"/>
                <w:sz w:val="24"/>
                <w:lang w:eastAsia="zh-CN"/>
              </w:rPr>
              <w:t>不</w:t>
            </w:r>
            <w:r>
              <w:rPr>
                <w:rFonts w:hint="default" w:ascii="Times New Roman" w:hAnsi="Times New Roman" w:eastAsia="宋体" w:cs="Times New Roman"/>
                <w:color w:val="0C0C0C"/>
                <w:kern w:val="0"/>
                <w:sz w:val="24"/>
              </w:rPr>
              <w:t>满足《地表水环境质量标准》（GB3838-2002）Ⅳ类标准。</w:t>
            </w:r>
          </w:p>
          <w:p>
            <w:pPr>
              <w:adjustRightInd w:val="0"/>
              <w:snapToGrid w:val="0"/>
              <w:spacing w:line="360" w:lineRule="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3、声环境</w:t>
            </w:r>
          </w:p>
          <w:p>
            <w:pPr>
              <w:adjustRightInd w:val="0"/>
              <w:snapToGrid w:val="0"/>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auto"/>
                <w:kern w:val="0"/>
                <w:sz w:val="24"/>
                <w:szCs w:val="24"/>
              </w:rPr>
              <w:t>根据近期《淄博市环境状况公报》可知，区域内的声环境质量良好，昼间、夜间噪声监测值均不超标，能够达到《声环境质量标准》（GB3096-2008）中2类区环境噪声限值要求</w:t>
            </w:r>
            <w:r>
              <w:rPr>
                <w:rFonts w:hint="default" w:ascii="Times New Roman" w:hAnsi="Times New Roman" w:eastAsia="宋体" w:cs="Times New Roman"/>
                <w:color w:val="000000"/>
                <w:kern w:val="0"/>
                <w:sz w:val="24"/>
              </w:rPr>
              <w:t>。</w:t>
            </w:r>
          </w:p>
          <w:p>
            <w:pPr>
              <w:adjustRightInd w:val="0"/>
              <w:snapToGrid w:val="0"/>
              <w:spacing w:line="360" w:lineRule="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4、生态环境</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建设项目所在地主要植被类型是一些人工绿化树木、草地、灌木等；野生动植物较少，无珍稀濒危动物，生态环境一般。</w:t>
            </w:r>
          </w:p>
          <w:p>
            <w:pPr>
              <w:adjustRightInd w:val="0"/>
              <w:snapToGrid w:val="0"/>
              <w:spacing w:line="360" w:lineRule="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5、电磁辐射</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不属于广播电台、差转台、电视塔台、卫星地球上行站、雷达等电磁辐射类项目，本评价不再开展电磁环境影响分析。</w:t>
            </w:r>
          </w:p>
          <w:p>
            <w:pPr>
              <w:adjustRightInd w:val="0"/>
              <w:snapToGrid w:val="0"/>
              <w:spacing w:line="360" w:lineRule="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6、地下水、土壤环境</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建成后，液体物料暂存区、危废暂存间</w:t>
            </w:r>
            <w:r>
              <w:rPr>
                <w:rFonts w:hint="eastAsia" w:cs="Times New Roman"/>
                <w:kern w:val="0"/>
                <w:sz w:val="24"/>
                <w:lang w:eastAsia="zh-CN"/>
              </w:rPr>
              <w:t>、旱厕</w:t>
            </w:r>
            <w:r>
              <w:rPr>
                <w:rFonts w:hint="default" w:ascii="Times New Roman" w:hAnsi="Times New Roman" w:eastAsia="宋体" w:cs="Times New Roman"/>
                <w:kern w:val="0"/>
                <w:sz w:val="24"/>
              </w:rPr>
              <w:t>采用重点防渗，10cm厚抗渗混凝土硬化，渗透系数小于1×10</w:t>
            </w:r>
            <w:r>
              <w:rPr>
                <w:rFonts w:hint="default" w:ascii="Times New Roman" w:hAnsi="Times New Roman" w:eastAsia="宋体" w:cs="Times New Roman"/>
                <w:kern w:val="0"/>
                <w:sz w:val="24"/>
                <w:vertAlign w:val="superscript"/>
              </w:rPr>
              <w:t>-7</w:t>
            </w:r>
            <w:r>
              <w:rPr>
                <w:rFonts w:hint="default" w:ascii="Times New Roman" w:hAnsi="Times New Roman" w:eastAsia="宋体" w:cs="Times New Roman"/>
                <w:kern w:val="0"/>
                <w:sz w:val="24"/>
              </w:rPr>
              <w:t>cm/s。正常工况下基本不会对地下水、土壤环境造成不利影响，故本评价原则上无需开展地下水、土壤现状调查。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800" w:type="dxa"/>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环境</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保护</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目标</w:t>
            </w:r>
          </w:p>
        </w:tc>
        <w:tc>
          <w:tcPr>
            <w:tcW w:w="8190" w:type="dxa"/>
            <w:vAlign w:val="center"/>
          </w:tcPr>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项目周围500m范围内无自然保护区、风景旅游点和文物古迹等需要特别保护的环境敏感对象。总体上不因</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的实施而改变区域环境现有功能。</w:t>
            </w:r>
          </w:p>
          <w:p>
            <w:pPr>
              <w:adjustRightInd w:val="0"/>
              <w:snapToGrid w:val="0"/>
              <w:jc w:val="center"/>
              <w:rPr>
                <w:rFonts w:hint="default" w:ascii="Times New Roman" w:hAnsi="Times New Roman" w:eastAsia="宋体" w:cs="Times New Roman"/>
                <w:b/>
                <w:bCs/>
                <w:color w:val="000000"/>
                <w:kern w:val="0"/>
                <w:sz w:val="24"/>
              </w:rPr>
            </w:pPr>
            <w:r>
              <w:rPr>
                <w:rFonts w:hint="default" w:ascii="Times New Roman" w:hAnsi="Times New Roman" w:eastAsia="宋体" w:cs="Times New Roman"/>
                <w:b/>
                <w:bCs/>
                <w:color w:val="000000"/>
                <w:kern w:val="0"/>
                <w:sz w:val="24"/>
              </w:rPr>
              <w:t>表3-</w:t>
            </w:r>
            <w:r>
              <w:rPr>
                <w:rFonts w:hint="eastAsia" w:ascii="Times New Roman" w:hAnsi="Times New Roman" w:eastAsia="宋体" w:cs="Times New Roman"/>
                <w:b/>
                <w:color w:val="000000"/>
                <w:kern w:val="0"/>
                <w:sz w:val="24"/>
                <w:lang w:val="en-US" w:eastAsia="zh-CN"/>
              </w:rPr>
              <w:t>4</w:t>
            </w:r>
            <w:r>
              <w:rPr>
                <w:rFonts w:hint="default" w:ascii="Times New Roman" w:hAnsi="Times New Roman" w:eastAsia="宋体" w:cs="Times New Roman"/>
                <w:b/>
                <w:bCs/>
                <w:color w:val="000000"/>
                <w:kern w:val="0"/>
                <w:sz w:val="24"/>
              </w:rPr>
              <w:t xml:space="preserve"> 主要环境保护目标</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18"/>
              <w:gridCol w:w="1461"/>
              <w:gridCol w:w="978"/>
              <w:gridCol w:w="1810"/>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tcBorders>
                    <w:bottom w:val="single" w:color="auto" w:sz="4" w:space="0"/>
                  </w:tcBorders>
                  <w:vAlign w:val="center"/>
                </w:tcPr>
                <w:p>
                  <w:pPr>
                    <w:tabs>
                      <w:tab w:val="left" w:pos="1680"/>
                    </w:tabs>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保护类别</w:t>
                  </w:r>
                </w:p>
              </w:tc>
              <w:tc>
                <w:tcPr>
                  <w:tcW w:w="911" w:type="pct"/>
                  <w:tcBorders>
                    <w:bottom w:val="single" w:color="auto" w:sz="4" w:space="0"/>
                  </w:tcBorders>
                  <w:vAlign w:val="center"/>
                </w:tcPr>
                <w:p>
                  <w:pPr>
                    <w:tabs>
                      <w:tab w:val="left" w:pos="1680"/>
                    </w:tabs>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保护目标</w:t>
                  </w:r>
                </w:p>
              </w:tc>
              <w:tc>
                <w:tcPr>
                  <w:tcW w:w="610" w:type="pct"/>
                  <w:tcBorders>
                    <w:bottom w:val="single" w:color="auto" w:sz="4" w:space="0"/>
                  </w:tcBorders>
                  <w:vAlign w:val="center"/>
                </w:tcPr>
                <w:p>
                  <w:pPr>
                    <w:tabs>
                      <w:tab w:val="left" w:pos="1680"/>
                    </w:tabs>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方位</w:t>
                  </w:r>
                </w:p>
              </w:tc>
              <w:tc>
                <w:tcPr>
                  <w:tcW w:w="1128" w:type="pct"/>
                  <w:tcBorders>
                    <w:bottom w:val="single" w:color="auto" w:sz="4" w:space="0"/>
                  </w:tcBorders>
                  <w:vAlign w:val="center"/>
                </w:tcPr>
                <w:p>
                  <w:pPr>
                    <w:tabs>
                      <w:tab w:val="left" w:pos="1680"/>
                    </w:tabs>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与厂界最近距离</w:t>
                  </w:r>
                </w:p>
              </w:tc>
              <w:tc>
                <w:tcPr>
                  <w:tcW w:w="1651" w:type="pct"/>
                  <w:tcBorders>
                    <w:bottom w:val="single" w:color="auto" w:sz="4" w:space="0"/>
                  </w:tcBorders>
                  <w:vAlign w:val="center"/>
                </w:tcPr>
                <w:p>
                  <w:pPr>
                    <w:tabs>
                      <w:tab w:val="left" w:pos="1680"/>
                    </w:tabs>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Merge w:val="restart"/>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大气环境</w:t>
                  </w:r>
                </w:p>
              </w:tc>
              <w:tc>
                <w:tcPr>
                  <w:tcW w:w="911"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萌二村</w:t>
                  </w:r>
                </w:p>
              </w:tc>
              <w:tc>
                <w:tcPr>
                  <w:tcW w:w="61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W</w:t>
                  </w:r>
                </w:p>
              </w:tc>
              <w:tc>
                <w:tcPr>
                  <w:tcW w:w="1128" w:type="pct"/>
                  <w:vAlign w:val="center"/>
                </w:tcPr>
                <w:p>
                  <w:pPr>
                    <w:tabs>
                      <w:tab w:val="left" w:pos="1680"/>
                    </w:tabs>
                    <w:ind w:right="-9"/>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5m</w:t>
                  </w:r>
                </w:p>
              </w:tc>
              <w:tc>
                <w:tcPr>
                  <w:tcW w:w="1651" w:type="pct"/>
                  <w:vMerge w:val="restart"/>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《环境空气质量标准》</w:t>
                  </w:r>
                  <w:r>
                    <w:rPr>
                      <w:rFonts w:hint="eastAsia" w:cs="Times New Roman"/>
                      <w:kern w:val="0"/>
                      <w:szCs w:val="21"/>
                      <w:lang w:eastAsia="zh-CN"/>
                    </w:rPr>
                    <w:t>（</w:t>
                  </w:r>
                  <w:r>
                    <w:rPr>
                      <w:rFonts w:hint="default" w:ascii="Times New Roman" w:hAnsi="Times New Roman" w:eastAsia="宋体" w:cs="Times New Roman"/>
                      <w:kern w:val="0"/>
                      <w:szCs w:val="21"/>
                    </w:rPr>
                    <w:t>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Merge w:val="continue"/>
                  <w:vAlign w:val="center"/>
                </w:tcPr>
                <w:p>
                  <w:pPr>
                    <w:tabs>
                      <w:tab w:val="left" w:pos="1680"/>
                    </w:tabs>
                    <w:jc w:val="center"/>
                    <w:rPr>
                      <w:rFonts w:hint="default" w:ascii="Times New Roman" w:hAnsi="Times New Roman" w:eastAsia="宋体" w:cs="Times New Roman"/>
                      <w:kern w:val="0"/>
                      <w:szCs w:val="21"/>
                    </w:rPr>
                  </w:pPr>
                </w:p>
              </w:tc>
              <w:tc>
                <w:tcPr>
                  <w:tcW w:w="911" w:type="pct"/>
                  <w:vAlign w:val="center"/>
                </w:tcPr>
                <w:p>
                  <w:pPr>
                    <w:adjustRightInd w:val="0"/>
                    <w:snapToGrid w:val="0"/>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color w:val="000000"/>
                      <w:kern w:val="0"/>
                      <w:szCs w:val="21"/>
                    </w:rPr>
                    <w:t>萌四村</w:t>
                  </w:r>
                </w:p>
              </w:tc>
              <w:tc>
                <w:tcPr>
                  <w:tcW w:w="610" w:type="pct"/>
                  <w:vAlign w:val="center"/>
                </w:tcPr>
                <w:p>
                  <w:pPr>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kern w:val="0"/>
                      <w:szCs w:val="21"/>
                    </w:rPr>
                    <w:t>W</w:t>
                  </w:r>
                </w:p>
              </w:tc>
              <w:tc>
                <w:tcPr>
                  <w:tcW w:w="1128" w:type="pct"/>
                  <w:vAlign w:val="center"/>
                </w:tcPr>
                <w:p>
                  <w:pPr>
                    <w:tabs>
                      <w:tab w:val="left" w:pos="1680"/>
                    </w:tabs>
                    <w:ind w:right="-9"/>
                    <w:jc w:val="center"/>
                    <w:rPr>
                      <w:rFonts w:hint="default" w:ascii="Times New Roman" w:hAnsi="Times New Roman" w:eastAsia="宋体" w:cs="Times New Roman"/>
                      <w:b/>
                      <w:bCs/>
                      <w:kern w:val="0"/>
                      <w:szCs w:val="21"/>
                    </w:rPr>
                  </w:pPr>
                  <w:r>
                    <w:rPr>
                      <w:rFonts w:hint="default" w:ascii="Times New Roman" w:hAnsi="Times New Roman" w:eastAsia="宋体" w:cs="Times New Roman"/>
                      <w:kern w:val="0"/>
                      <w:szCs w:val="21"/>
                    </w:rPr>
                    <w:t>130m</w:t>
                  </w:r>
                </w:p>
              </w:tc>
              <w:tc>
                <w:tcPr>
                  <w:tcW w:w="1651" w:type="pct"/>
                  <w:vMerge w:val="continue"/>
                  <w:vAlign w:val="center"/>
                </w:tcPr>
                <w:p>
                  <w:pPr>
                    <w:tabs>
                      <w:tab w:val="left" w:pos="1680"/>
                    </w:tabs>
                    <w:jc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Merge w:val="continue"/>
                  <w:vAlign w:val="center"/>
                </w:tcPr>
                <w:p>
                  <w:pPr>
                    <w:tabs>
                      <w:tab w:val="left" w:pos="1680"/>
                    </w:tabs>
                    <w:jc w:val="center"/>
                    <w:rPr>
                      <w:rFonts w:hint="default" w:ascii="Times New Roman" w:hAnsi="Times New Roman" w:eastAsia="宋体" w:cs="Times New Roman"/>
                      <w:kern w:val="0"/>
                      <w:szCs w:val="21"/>
                    </w:rPr>
                  </w:pPr>
                </w:p>
              </w:tc>
              <w:tc>
                <w:tcPr>
                  <w:tcW w:w="911"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萌一村</w:t>
                  </w:r>
                </w:p>
              </w:tc>
              <w:tc>
                <w:tcPr>
                  <w:tcW w:w="61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NW</w:t>
                  </w:r>
                </w:p>
              </w:tc>
              <w:tc>
                <w:tcPr>
                  <w:tcW w:w="1128" w:type="pct"/>
                  <w:vAlign w:val="center"/>
                </w:tcPr>
                <w:p>
                  <w:pPr>
                    <w:tabs>
                      <w:tab w:val="left" w:pos="1680"/>
                    </w:tabs>
                    <w:ind w:right="-9"/>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364m</w:t>
                  </w:r>
                </w:p>
              </w:tc>
              <w:tc>
                <w:tcPr>
                  <w:tcW w:w="1651" w:type="pct"/>
                  <w:vMerge w:val="continue"/>
                  <w:vAlign w:val="center"/>
                </w:tcPr>
                <w:p>
                  <w:pPr>
                    <w:tabs>
                      <w:tab w:val="left" w:pos="1680"/>
                    </w:tabs>
                    <w:jc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Merge w:val="continue"/>
                  <w:vAlign w:val="center"/>
                </w:tcPr>
                <w:p>
                  <w:pPr>
                    <w:tabs>
                      <w:tab w:val="left" w:pos="1680"/>
                    </w:tabs>
                    <w:jc w:val="center"/>
                    <w:rPr>
                      <w:rFonts w:hint="default" w:ascii="Times New Roman" w:hAnsi="Times New Roman" w:eastAsia="宋体" w:cs="Times New Roman"/>
                      <w:kern w:val="0"/>
                      <w:szCs w:val="21"/>
                    </w:rPr>
                  </w:pPr>
                </w:p>
              </w:tc>
              <w:tc>
                <w:tcPr>
                  <w:tcW w:w="911"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萌三村</w:t>
                  </w:r>
                </w:p>
              </w:tc>
              <w:tc>
                <w:tcPr>
                  <w:tcW w:w="61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w:t>
                  </w:r>
                </w:p>
              </w:tc>
              <w:tc>
                <w:tcPr>
                  <w:tcW w:w="1128" w:type="pct"/>
                  <w:vAlign w:val="center"/>
                </w:tcPr>
                <w:p>
                  <w:pPr>
                    <w:tabs>
                      <w:tab w:val="left" w:pos="1680"/>
                    </w:tabs>
                    <w:ind w:right="-9"/>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380m</w:t>
                  </w:r>
                </w:p>
              </w:tc>
              <w:tc>
                <w:tcPr>
                  <w:tcW w:w="1651" w:type="pct"/>
                  <w:vMerge w:val="continue"/>
                  <w:vAlign w:val="center"/>
                </w:tcPr>
                <w:p>
                  <w:pPr>
                    <w:tabs>
                      <w:tab w:val="left" w:pos="1680"/>
                    </w:tabs>
                    <w:jc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Align w:val="center"/>
                </w:tcPr>
                <w:p>
                  <w:pPr>
                    <w:tabs>
                      <w:tab w:val="left" w:pos="1680"/>
                    </w:tabs>
                    <w:ind w:right="-9"/>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声环境</w:t>
                  </w:r>
                </w:p>
              </w:tc>
              <w:tc>
                <w:tcPr>
                  <w:tcW w:w="2650" w:type="pct"/>
                  <w:gridSpan w:val="3"/>
                  <w:vAlign w:val="center"/>
                </w:tcPr>
                <w:p>
                  <w:pPr>
                    <w:tabs>
                      <w:tab w:val="left" w:pos="1680"/>
                    </w:tabs>
                    <w:ind w:right="-9"/>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厂界外50m范围内萌二村民房</w:t>
                  </w:r>
                </w:p>
              </w:tc>
              <w:tc>
                <w:tcPr>
                  <w:tcW w:w="1651" w:type="pct"/>
                  <w:vAlign w:val="center"/>
                </w:tcPr>
                <w:p>
                  <w:pPr>
                    <w:tabs>
                      <w:tab w:val="left" w:pos="1680"/>
                    </w:tabs>
                    <w:ind w:right="-9"/>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《声环境质量标准》</w:t>
                  </w:r>
                </w:p>
                <w:p>
                  <w:pPr>
                    <w:tabs>
                      <w:tab w:val="left" w:pos="1680"/>
                    </w:tabs>
                    <w:ind w:right="-9"/>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（GB3096-2008）2类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地表水环境</w:t>
                  </w:r>
                </w:p>
              </w:tc>
              <w:tc>
                <w:tcPr>
                  <w:tcW w:w="911" w:type="pct"/>
                  <w:vAlign w:val="center"/>
                </w:tcPr>
                <w:p>
                  <w:pPr>
                    <w:tabs>
                      <w:tab w:val="left" w:pos="1680"/>
                    </w:tabs>
                    <w:ind w:right="-9"/>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范阳河</w:t>
                  </w:r>
                </w:p>
              </w:tc>
              <w:tc>
                <w:tcPr>
                  <w:tcW w:w="61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w:t>
                  </w:r>
                </w:p>
              </w:tc>
              <w:tc>
                <w:tcPr>
                  <w:tcW w:w="112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810m</w:t>
                  </w:r>
                </w:p>
              </w:tc>
              <w:tc>
                <w:tcPr>
                  <w:tcW w:w="1651" w:type="pct"/>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《地表水环境质量标准》（GB3838-2002）</w:t>
                  </w:r>
                  <w:r>
                    <w:rPr>
                      <w:rFonts w:hint="default" w:ascii="Times New Roman" w:hAnsi="Times New Roman" w:eastAsia="宋体" w:cs="Times New Roman"/>
                      <w:kern w:val="0"/>
                      <w:szCs w:val="21"/>
                    </w:rPr>
                    <w:fldChar w:fldCharType="begin"/>
                  </w:r>
                  <w:r>
                    <w:rPr>
                      <w:rFonts w:hint="default" w:ascii="Times New Roman" w:hAnsi="Times New Roman" w:eastAsia="宋体" w:cs="Times New Roman"/>
                      <w:kern w:val="0"/>
                      <w:szCs w:val="21"/>
                    </w:rPr>
                    <w:instrText xml:space="preserve"> = 4 \* ROMAN \* MERGEFORMAT </w:instrText>
                  </w:r>
                  <w:r>
                    <w:rPr>
                      <w:rFonts w:hint="default" w:ascii="Times New Roman" w:hAnsi="Times New Roman" w:eastAsia="宋体" w:cs="Times New Roman"/>
                      <w:kern w:val="0"/>
                      <w:szCs w:val="21"/>
                    </w:rPr>
                    <w:fldChar w:fldCharType="separate"/>
                  </w:r>
                  <w:r>
                    <w:rPr>
                      <w:rFonts w:hint="default" w:ascii="Times New Roman" w:hAnsi="Times New Roman" w:eastAsia="宋体" w:cs="Times New Roman"/>
                      <w:kern w:val="0"/>
                      <w:szCs w:val="21"/>
                    </w:rPr>
                    <w:t>V</w:t>
                  </w:r>
                  <w:r>
                    <w:rPr>
                      <w:rFonts w:hint="default" w:ascii="Times New Roman" w:hAnsi="Times New Roman" w:eastAsia="宋体" w:cs="Times New Roman"/>
                      <w:kern w:val="0"/>
                      <w:szCs w:val="21"/>
                    </w:rPr>
                    <w:fldChar w:fldCharType="end"/>
                  </w:r>
                  <w:r>
                    <w:rPr>
                      <w:rFonts w:hint="default" w:ascii="Times New Roman" w:hAnsi="Times New Roman" w:eastAsia="宋体" w:cs="Times New Roman"/>
                      <w:kern w:val="0"/>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地下水环境</w:t>
                  </w:r>
                </w:p>
              </w:tc>
              <w:tc>
                <w:tcPr>
                  <w:tcW w:w="2650" w:type="pct"/>
                  <w:gridSpan w:val="3"/>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项目周边500m范围内无饮用水源地和热水、矿泉水、温泉等特殊地下水资源</w:t>
                  </w:r>
                </w:p>
              </w:tc>
              <w:tc>
                <w:tcPr>
                  <w:tcW w:w="1651" w:type="pct"/>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7" w:type="pct"/>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生态环境</w:t>
                  </w:r>
                </w:p>
              </w:tc>
              <w:tc>
                <w:tcPr>
                  <w:tcW w:w="4302" w:type="pct"/>
                  <w:gridSpan w:val="4"/>
                  <w:vAlign w:val="center"/>
                </w:tcPr>
                <w:p>
                  <w:pPr>
                    <w:tabs>
                      <w:tab w:val="left" w:pos="1680"/>
                    </w:tabs>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项目用地范围内不含有生态保护目标</w:t>
                  </w:r>
                </w:p>
              </w:tc>
            </w:tr>
          </w:tbl>
          <w:p>
            <w:pPr>
              <w:adjustRightInd w:val="0"/>
              <w:snapToGrid w:val="0"/>
              <w:spacing w:line="360" w:lineRule="auto"/>
              <w:ind w:firstLine="480" w:firstLineChars="200"/>
              <w:rPr>
                <w:rFonts w:hint="default" w:ascii="Times New Roman" w:hAnsi="Times New Roman" w:eastAsia="宋体" w:cs="Times New Roman"/>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00" w:type="dxa"/>
            <w:tcMar>
              <w:left w:w="28" w:type="dxa"/>
              <w:right w:w="28"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污染</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物排</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放控</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制标</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准</w:t>
            </w:r>
          </w:p>
        </w:tc>
        <w:tc>
          <w:tcPr>
            <w:tcW w:w="8190" w:type="dxa"/>
            <w:vAlign w:val="center"/>
          </w:tcPr>
          <w:p>
            <w:pPr>
              <w:adjustRightInd w:val="0"/>
              <w:snapToGrid w:val="0"/>
              <w:spacing w:line="360" w:lineRule="auto"/>
              <w:ind w:firstLine="482" w:firstLineChars="200"/>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1、废气</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color w:val="0C0C0C"/>
                <w:kern w:val="0"/>
                <w:sz w:val="24"/>
              </w:rPr>
              <w:t>营运期</w:t>
            </w:r>
            <w:r>
              <w:rPr>
                <w:rFonts w:hint="default" w:ascii="Times New Roman" w:hAnsi="Times New Roman" w:eastAsia="宋体" w:cs="Times New Roman"/>
                <w:kern w:val="0"/>
                <w:sz w:val="24"/>
              </w:rPr>
              <w:t>颗粒物、SO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、NOx</w:t>
            </w:r>
            <w:r>
              <w:rPr>
                <w:rFonts w:hint="default" w:ascii="Times New Roman" w:hAnsi="Times New Roman" w:eastAsia="宋体" w:cs="Times New Roman"/>
                <w:bCs/>
                <w:color w:val="0C0C0C"/>
                <w:kern w:val="0"/>
                <w:sz w:val="24"/>
              </w:rPr>
              <w:t>无组织排放浓度执行</w:t>
            </w:r>
            <w:r>
              <w:rPr>
                <w:rFonts w:hint="default" w:ascii="Times New Roman" w:hAnsi="Times New Roman" w:eastAsia="宋体" w:cs="Times New Roman"/>
                <w:color w:val="0C0C0C"/>
                <w:kern w:val="0"/>
                <w:sz w:val="24"/>
              </w:rPr>
              <w:t>《大气污染物综合排放标准》（GB16297-1996）表2新污染源大气污染物排放限值中无组织排放监控浓度限值。</w:t>
            </w:r>
          </w:p>
          <w:p>
            <w:pPr>
              <w:adjustRightInd w:val="0"/>
              <w:snapToGrid w:val="0"/>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表3-</w:t>
            </w:r>
            <w:r>
              <w:rPr>
                <w:rFonts w:hint="eastAsia" w:ascii="Times New Roman" w:hAnsi="Times New Roman" w:eastAsia="宋体" w:cs="Times New Roman"/>
                <w:b/>
                <w:kern w:val="0"/>
                <w:sz w:val="24"/>
                <w:lang w:val="en-US" w:eastAsia="zh-CN"/>
              </w:rPr>
              <w:t>5</w:t>
            </w:r>
            <w:r>
              <w:rPr>
                <w:rFonts w:hint="default" w:ascii="Times New Roman" w:hAnsi="Times New Roman" w:eastAsia="宋体" w:cs="Times New Roman"/>
                <w:b/>
                <w:kern w:val="0"/>
                <w:sz w:val="24"/>
              </w:rPr>
              <w:t xml:space="preserve"> 大气污染物排放标准</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91"/>
              <w:gridCol w:w="1546"/>
              <w:gridCol w:w="1450"/>
              <w:gridCol w:w="1235"/>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Merge w:val="restart"/>
                  <w:vAlign w:val="center"/>
                </w:tcPr>
                <w:p>
                  <w:pPr>
                    <w:autoSpaceDE w:val="0"/>
                    <w:autoSpaceDN w:val="0"/>
                    <w:snapToGrid w:val="0"/>
                    <w:spacing w:line="263" w:lineRule="exact"/>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污染物名称</w:t>
                  </w:r>
                </w:p>
              </w:tc>
              <w:tc>
                <w:tcPr>
                  <w:tcW w:w="4318" w:type="pct"/>
                  <w:gridSpan w:val="4"/>
                  <w:vAlign w:val="center"/>
                </w:tcPr>
                <w:p>
                  <w:pPr>
                    <w:autoSpaceDE w:val="0"/>
                    <w:autoSpaceDN w:val="0"/>
                    <w:snapToGrid w:val="0"/>
                    <w:spacing w:line="263" w:lineRule="exact"/>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Merge w:val="continue"/>
                  <w:vAlign w:val="center"/>
                </w:tcPr>
                <w:p>
                  <w:pPr>
                    <w:autoSpaceDE w:val="0"/>
                    <w:autoSpaceDN w:val="0"/>
                    <w:snapToGrid w:val="0"/>
                    <w:jc w:val="center"/>
                    <w:rPr>
                      <w:rFonts w:hint="default" w:ascii="Times New Roman" w:hAnsi="Times New Roman" w:eastAsia="宋体" w:cs="Times New Roman"/>
                      <w:b/>
                      <w:kern w:val="0"/>
                      <w:szCs w:val="21"/>
                    </w:rPr>
                  </w:pPr>
                </w:p>
              </w:tc>
              <w:tc>
                <w:tcPr>
                  <w:tcW w:w="964" w:type="pct"/>
                  <w:vAlign w:val="center"/>
                </w:tcPr>
                <w:p>
                  <w:pPr>
                    <w:autoSpaceDE w:val="0"/>
                    <w:autoSpaceDN w:val="0"/>
                    <w:snapToGrid w:val="0"/>
                    <w:spacing w:line="263" w:lineRule="exact"/>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浓度（mg/m</w:t>
                  </w:r>
                  <w:r>
                    <w:rPr>
                      <w:rFonts w:hint="default" w:ascii="Times New Roman" w:hAnsi="Times New Roman" w:eastAsia="宋体" w:cs="Times New Roman"/>
                      <w:b/>
                      <w:kern w:val="0"/>
                      <w:szCs w:val="21"/>
                      <w:vertAlign w:val="superscript"/>
                    </w:rPr>
                    <w:t>3</w:t>
                  </w:r>
                  <w:r>
                    <w:rPr>
                      <w:rFonts w:hint="default" w:ascii="Times New Roman" w:hAnsi="Times New Roman" w:eastAsia="宋体" w:cs="Times New Roman"/>
                      <w:b/>
                      <w:kern w:val="0"/>
                      <w:szCs w:val="21"/>
                    </w:rPr>
                    <w:t>）</w:t>
                  </w:r>
                </w:p>
              </w:tc>
              <w:tc>
                <w:tcPr>
                  <w:tcW w:w="904" w:type="pct"/>
                  <w:vAlign w:val="center"/>
                </w:tcPr>
                <w:p>
                  <w:pPr>
                    <w:autoSpaceDE w:val="0"/>
                    <w:autoSpaceDN w:val="0"/>
                    <w:snapToGrid w:val="0"/>
                    <w:spacing w:line="263" w:lineRule="exact"/>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速率（kg/h）</w:t>
                  </w:r>
                </w:p>
              </w:tc>
              <w:tc>
                <w:tcPr>
                  <w:tcW w:w="770" w:type="pct"/>
                  <w:tcBorders>
                    <w:right w:val="single" w:color="auto" w:sz="4" w:space="0"/>
                  </w:tcBorders>
                  <w:vAlign w:val="center"/>
                </w:tcPr>
                <w:p>
                  <w:pPr>
                    <w:autoSpaceDE w:val="0"/>
                    <w:autoSpaceDN w:val="0"/>
                    <w:snapToGrid w:val="0"/>
                    <w:spacing w:line="263" w:lineRule="exact"/>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排气筒高度</w:t>
                  </w:r>
                </w:p>
                <w:p>
                  <w:pPr>
                    <w:autoSpaceDE w:val="0"/>
                    <w:autoSpaceDN w:val="0"/>
                    <w:snapToGrid w:val="0"/>
                    <w:spacing w:line="263" w:lineRule="exact"/>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（m）</w:t>
                  </w:r>
                </w:p>
              </w:tc>
              <w:tc>
                <w:tcPr>
                  <w:tcW w:w="1679" w:type="pct"/>
                  <w:tcBorders>
                    <w:left w:val="single" w:color="auto" w:sz="4" w:space="0"/>
                  </w:tcBorders>
                  <w:vAlign w:val="center"/>
                </w:tcPr>
                <w:p>
                  <w:pPr>
                    <w:autoSpaceDE w:val="0"/>
                    <w:autoSpaceDN w:val="0"/>
                    <w:snapToGrid w:val="0"/>
                    <w:spacing w:line="263" w:lineRule="exact"/>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无组织排放监控浓度限值（mg/m</w:t>
                  </w:r>
                  <w:r>
                    <w:rPr>
                      <w:rFonts w:hint="default" w:ascii="Times New Roman" w:hAnsi="Times New Roman" w:eastAsia="宋体" w:cs="Times New Roman"/>
                      <w:b/>
                      <w:kern w:val="0"/>
                      <w:szCs w:val="21"/>
                      <w:vertAlign w:val="superscript"/>
                    </w:rPr>
                    <w:t>3</w:t>
                  </w:r>
                  <w:r>
                    <w:rPr>
                      <w:rFonts w:hint="default" w:ascii="Times New Roman" w:hAnsi="Times New Roman" w:eastAsia="宋体" w:cs="Times New Roman"/>
                      <w:b/>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Align w:val="center"/>
                </w:tcPr>
                <w:p>
                  <w:pPr>
                    <w:autoSpaceDE w:val="0"/>
                    <w:autoSpaceDN w:val="0"/>
                    <w:snapToGrid w:val="0"/>
                    <w:spacing w:line="263"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颗粒物</w:t>
                  </w:r>
                </w:p>
              </w:tc>
              <w:tc>
                <w:tcPr>
                  <w:tcW w:w="964" w:type="pct"/>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904" w:type="pct"/>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70" w:type="pct"/>
                  <w:tcBorders>
                    <w:right w:val="single" w:color="auto" w:sz="4" w:space="0"/>
                  </w:tcBorders>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679" w:type="pct"/>
                  <w:tcBorders>
                    <w:left w:val="single" w:color="auto" w:sz="4" w:space="0"/>
                  </w:tcBorders>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964" w:type="pct"/>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904" w:type="pct"/>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70" w:type="pct"/>
                  <w:tcBorders>
                    <w:right w:val="single" w:color="auto" w:sz="4" w:space="0"/>
                  </w:tcBorders>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679" w:type="pct"/>
                  <w:tcBorders>
                    <w:left w:val="single" w:color="auto" w:sz="4" w:space="0"/>
                  </w:tcBorders>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25" w:hRule="atLeast"/>
                <w:jc w:val="center"/>
              </w:trPr>
              <w:tc>
                <w:tcPr>
                  <w:tcW w:w="68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NOx</w:t>
                  </w:r>
                </w:p>
              </w:tc>
              <w:tc>
                <w:tcPr>
                  <w:tcW w:w="964" w:type="pct"/>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904" w:type="pct"/>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70" w:type="pct"/>
                  <w:tcBorders>
                    <w:right w:val="single" w:color="auto" w:sz="4" w:space="0"/>
                  </w:tcBorders>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679" w:type="pct"/>
                  <w:tcBorders>
                    <w:left w:val="single" w:color="auto" w:sz="4" w:space="0"/>
                  </w:tcBorders>
                  <w:vAlign w:val="center"/>
                </w:tcPr>
                <w:p>
                  <w:pPr>
                    <w:autoSpaceDE w:val="0"/>
                    <w:autoSpaceDN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0.12</w:t>
                  </w:r>
                </w:p>
              </w:tc>
            </w:tr>
          </w:tbl>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2、噪声</w:t>
            </w:r>
          </w:p>
          <w:p>
            <w:pPr>
              <w:adjustRightInd w:val="0"/>
              <w:snapToGrid w:val="0"/>
              <w:spacing w:line="360" w:lineRule="auto"/>
              <w:ind w:firstLine="480" w:firstLineChars="200"/>
              <w:rPr>
                <w:rFonts w:hint="default"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lang w:eastAsia="zh-CN"/>
              </w:rPr>
              <w:t>技改项目</w:t>
            </w:r>
            <w:r>
              <w:rPr>
                <w:rFonts w:hint="default" w:ascii="Times New Roman" w:hAnsi="Times New Roman" w:eastAsia="宋体" w:cs="Times New Roman"/>
                <w:color w:val="000000"/>
                <w:kern w:val="0"/>
                <w:sz w:val="24"/>
              </w:rPr>
              <w:t>营运期噪声执行《工业企业厂界环境噪声排放标准》（GB3096-2008）的2类声环境功能区。</w:t>
            </w:r>
          </w:p>
          <w:p>
            <w:pPr>
              <w:adjustRightInd w:val="0"/>
              <w:snapToGrid w:val="0"/>
              <w:jc w:val="center"/>
              <w:rPr>
                <w:rFonts w:hint="default" w:ascii="Times New Roman" w:hAnsi="Times New Roman" w:eastAsia="宋体" w:cs="Times New Roman"/>
                <w:b/>
                <w:color w:val="000000"/>
                <w:kern w:val="0"/>
                <w:sz w:val="24"/>
              </w:rPr>
            </w:pPr>
            <w:r>
              <w:rPr>
                <w:rFonts w:hint="default" w:ascii="Times New Roman" w:hAnsi="Times New Roman" w:eastAsia="宋体" w:cs="Times New Roman"/>
                <w:b/>
                <w:color w:val="000000"/>
                <w:kern w:val="0"/>
                <w:sz w:val="24"/>
              </w:rPr>
              <w:t>表3-</w:t>
            </w:r>
            <w:r>
              <w:rPr>
                <w:rFonts w:hint="eastAsia" w:ascii="Times New Roman" w:hAnsi="Times New Roman" w:eastAsia="宋体" w:cs="Times New Roman"/>
                <w:b/>
                <w:color w:val="000000"/>
                <w:kern w:val="0"/>
                <w:sz w:val="24"/>
                <w:lang w:val="en-US" w:eastAsia="zh-CN"/>
              </w:rPr>
              <w:t>7</w:t>
            </w:r>
            <w:r>
              <w:rPr>
                <w:rFonts w:hint="default" w:ascii="Times New Roman" w:hAnsi="Times New Roman" w:eastAsia="宋体" w:cs="Times New Roman"/>
                <w:b/>
                <w:color w:val="000000"/>
                <w:kern w:val="0"/>
                <w:sz w:val="24"/>
              </w:rPr>
              <w:t xml:space="preserve"> 工业企业厂界环境噪声排放标准</w:t>
            </w:r>
          </w:p>
          <w:tbl>
            <w:tblPr>
              <w:tblStyle w:val="18"/>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2667"/>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88" w:type="dxa"/>
                  <w:tcBorders>
                    <w:top w:val="single" w:color="auto" w:sz="4" w:space="0"/>
                    <w:left w:val="single" w:color="auto" w:sz="4" w:space="0"/>
                    <w:bottom w:val="single" w:color="auto" w:sz="4" w:space="0"/>
                    <w:right w:val="single" w:color="auto" w:sz="4" w:space="0"/>
                  </w:tcBorders>
                  <w:vAlign w:val="center"/>
                </w:tcPr>
                <w:p>
                  <w:pPr>
                    <w:pStyle w:val="31"/>
                    <w:ind w:firstLine="422"/>
                    <w:rPr>
                      <w:rFonts w:hint="default" w:ascii="Times New Roman" w:hAnsi="Times New Roman" w:eastAsia="宋体" w:cs="Times New Roman"/>
                      <w:b/>
                      <w:color w:val="000000"/>
                      <w:kern w:val="0"/>
                    </w:rPr>
                  </w:pPr>
                  <w:r>
                    <w:rPr>
                      <w:rFonts w:hint="default" w:ascii="Times New Roman" w:hAnsi="Times New Roman" w:eastAsia="宋体" w:cs="Times New Roman"/>
                      <w:b/>
                      <w:color w:val="000000"/>
                      <w:kern w:val="0"/>
                    </w:rPr>
                    <w:t>标准</w:t>
                  </w:r>
                </w:p>
              </w:tc>
              <w:tc>
                <w:tcPr>
                  <w:tcW w:w="2667" w:type="dxa"/>
                  <w:tcBorders>
                    <w:top w:val="single" w:color="auto" w:sz="4" w:space="0"/>
                    <w:left w:val="single" w:color="auto" w:sz="4" w:space="0"/>
                    <w:bottom w:val="single" w:color="auto" w:sz="4" w:space="0"/>
                    <w:right w:val="single" w:color="auto" w:sz="4" w:space="0"/>
                  </w:tcBorders>
                  <w:vAlign w:val="center"/>
                </w:tcPr>
                <w:p>
                  <w:pPr>
                    <w:pStyle w:val="31"/>
                    <w:ind w:firstLine="422"/>
                    <w:rPr>
                      <w:rFonts w:hint="default" w:ascii="Times New Roman" w:hAnsi="Times New Roman" w:eastAsia="宋体" w:cs="Times New Roman"/>
                      <w:b/>
                      <w:color w:val="000000"/>
                      <w:kern w:val="0"/>
                    </w:rPr>
                  </w:pPr>
                  <w:r>
                    <w:rPr>
                      <w:rFonts w:hint="default" w:ascii="Times New Roman" w:hAnsi="Times New Roman" w:eastAsia="宋体" w:cs="Times New Roman"/>
                      <w:b/>
                      <w:color w:val="000000"/>
                      <w:kern w:val="0"/>
                    </w:rPr>
                    <w:t>昼间dB（A）</w:t>
                  </w:r>
                </w:p>
              </w:tc>
              <w:tc>
                <w:tcPr>
                  <w:tcW w:w="2464" w:type="dxa"/>
                  <w:tcBorders>
                    <w:top w:val="single" w:color="auto" w:sz="4" w:space="0"/>
                    <w:left w:val="single" w:color="auto" w:sz="4" w:space="0"/>
                    <w:bottom w:val="single" w:color="auto" w:sz="4" w:space="0"/>
                    <w:right w:val="single" w:color="auto" w:sz="4" w:space="0"/>
                  </w:tcBorders>
                  <w:vAlign w:val="center"/>
                </w:tcPr>
                <w:p>
                  <w:pPr>
                    <w:pStyle w:val="31"/>
                    <w:ind w:firstLine="422"/>
                    <w:rPr>
                      <w:rFonts w:hint="default" w:ascii="Times New Roman" w:hAnsi="Times New Roman" w:eastAsia="宋体" w:cs="Times New Roman"/>
                      <w:b/>
                      <w:color w:val="000000"/>
                      <w:kern w:val="0"/>
                    </w:rPr>
                  </w:pPr>
                  <w:r>
                    <w:rPr>
                      <w:rFonts w:hint="default" w:ascii="Times New Roman" w:hAnsi="Times New Roman" w:eastAsia="宋体" w:cs="Times New Roman"/>
                      <w:b/>
                      <w:color w:val="000000"/>
                      <w:kern w:val="0"/>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88" w:type="dxa"/>
                  <w:tcBorders>
                    <w:top w:val="single" w:color="auto" w:sz="4" w:space="0"/>
                    <w:left w:val="single" w:color="auto" w:sz="4" w:space="0"/>
                    <w:bottom w:val="single" w:color="auto" w:sz="4" w:space="0"/>
                    <w:right w:val="single" w:color="auto" w:sz="4" w:space="0"/>
                  </w:tcBorders>
                  <w:vAlign w:val="center"/>
                </w:tcPr>
                <w:p>
                  <w:pPr>
                    <w:pStyle w:val="31"/>
                    <w:rPr>
                      <w:rFonts w:hint="default" w:ascii="Times New Roman" w:hAnsi="Times New Roman" w:eastAsia="宋体" w:cs="Times New Roman"/>
                      <w:b/>
                      <w:bCs/>
                      <w:color w:val="000000"/>
                      <w:kern w:val="0"/>
                    </w:rPr>
                  </w:pPr>
                  <w:r>
                    <w:rPr>
                      <w:rFonts w:hint="default" w:ascii="Times New Roman" w:hAnsi="Times New Roman" w:eastAsia="宋体" w:cs="Times New Roman"/>
                      <w:b/>
                      <w:bCs/>
                      <w:color w:val="000000"/>
                      <w:kern w:val="0"/>
                    </w:rPr>
                    <w:t>GB12348-2008 2类</w:t>
                  </w:r>
                </w:p>
              </w:tc>
              <w:tc>
                <w:tcPr>
                  <w:tcW w:w="2667" w:type="dxa"/>
                  <w:tcBorders>
                    <w:top w:val="single" w:color="auto" w:sz="4" w:space="0"/>
                    <w:left w:val="single" w:color="auto" w:sz="4" w:space="0"/>
                    <w:bottom w:val="single" w:color="auto" w:sz="4" w:space="0"/>
                    <w:right w:val="single" w:color="auto" w:sz="4" w:space="0"/>
                  </w:tcBorders>
                  <w:vAlign w:val="center"/>
                </w:tcPr>
                <w:p>
                  <w:pPr>
                    <w:pStyle w:val="31"/>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60</w:t>
                  </w:r>
                </w:p>
              </w:tc>
              <w:tc>
                <w:tcPr>
                  <w:tcW w:w="2464" w:type="dxa"/>
                  <w:tcBorders>
                    <w:top w:val="single" w:color="auto" w:sz="4" w:space="0"/>
                    <w:left w:val="single" w:color="auto" w:sz="4" w:space="0"/>
                    <w:bottom w:val="single" w:color="auto" w:sz="4" w:space="0"/>
                    <w:right w:val="single" w:color="auto" w:sz="4" w:space="0"/>
                  </w:tcBorders>
                  <w:vAlign w:val="center"/>
                </w:tcPr>
                <w:p>
                  <w:pPr>
                    <w:pStyle w:val="31"/>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50</w:t>
                  </w:r>
                </w:p>
              </w:tc>
            </w:tr>
          </w:tbl>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3、固废</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一般固废执行《一般工业固体废物贮存和填埋污染控制标准》（GB18599-2020）；危险废物执行《危险废物贮存污染控制标准》（GB18597-2001）及其修改单中的规定。</w:t>
            </w:r>
          </w:p>
          <w:p>
            <w:pPr>
              <w:adjustRightInd w:val="0"/>
              <w:snapToGrid w:val="0"/>
              <w:spacing w:line="360" w:lineRule="auto"/>
              <w:ind w:firstLine="480" w:firstLineChars="200"/>
              <w:rPr>
                <w:rFonts w:hint="default" w:ascii="Times New Roman" w:hAnsi="Times New Roman" w:eastAsia="宋体" w:cs="Times New Roman"/>
                <w:kern w:val="0"/>
                <w:sz w:val="24"/>
              </w:rPr>
            </w:pPr>
          </w:p>
          <w:p>
            <w:pPr>
              <w:adjustRightInd w:val="0"/>
              <w:snapToGrid w:val="0"/>
              <w:spacing w:line="360" w:lineRule="auto"/>
              <w:ind w:firstLine="480" w:firstLineChars="200"/>
              <w:rPr>
                <w:rFonts w:hint="default" w:ascii="Times New Roman" w:hAnsi="Times New Roman" w:eastAsia="宋体" w:cs="Times New Roman"/>
                <w:kern w:val="0"/>
                <w:sz w:val="24"/>
              </w:rPr>
            </w:pPr>
          </w:p>
          <w:p>
            <w:pPr>
              <w:adjustRightInd w:val="0"/>
              <w:snapToGrid w:val="0"/>
              <w:spacing w:line="360" w:lineRule="auto"/>
              <w:ind w:firstLine="480" w:firstLineChars="200"/>
              <w:rPr>
                <w:rFonts w:hint="default" w:ascii="Times New Roman" w:hAnsi="Times New Roman" w:eastAsia="宋体" w:cs="Times New Roman"/>
                <w:kern w:val="0"/>
                <w:sz w:val="24"/>
              </w:rPr>
            </w:pPr>
          </w:p>
          <w:p>
            <w:pPr>
              <w:pStyle w:val="2"/>
              <w:ind w:firstLine="480"/>
              <w:rPr>
                <w:rFonts w:hint="default" w:ascii="Times New Roman" w:hAnsi="Times New Roman" w:eastAsia="宋体" w:cs="Times New Roman"/>
                <w:kern w:val="0"/>
                <w:szCs w:val="24"/>
              </w:rPr>
            </w:pPr>
          </w:p>
          <w:p>
            <w:pPr>
              <w:rPr>
                <w:rFonts w:hint="default" w:ascii="Times New Roman" w:hAnsi="Times New Roman" w:eastAsia="宋体" w:cs="Times New Roman"/>
                <w:kern w:val="0"/>
                <w:sz w:val="24"/>
              </w:rPr>
            </w:pPr>
          </w:p>
          <w:p>
            <w:pPr>
              <w:pStyle w:val="2"/>
              <w:ind w:firstLine="480"/>
              <w:rPr>
                <w:rFonts w:hint="default" w:ascii="Times New Roman" w:hAnsi="Times New Roman" w:eastAsia="宋体" w:cs="Times New Roman"/>
                <w:kern w:val="0"/>
                <w:szCs w:val="24"/>
              </w:rPr>
            </w:pPr>
          </w:p>
          <w:p>
            <w:pPr>
              <w:rPr>
                <w:rFonts w:hint="default" w:ascii="Times New Roman" w:hAnsi="Times New Roman" w:eastAsia="宋体" w:cs="Times New Roman"/>
                <w:kern w:val="0"/>
                <w:sz w:val="24"/>
              </w:rPr>
            </w:pPr>
          </w:p>
          <w:p>
            <w:pPr>
              <w:pStyle w:val="2"/>
              <w:ind w:firstLine="480"/>
              <w:rPr>
                <w:rFonts w:hint="default" w:ascii="Times New Roman" w:hAnsi="Times New Roman" w:eastAsia="宋体" w:cs="Times New Roman"/>
                <w:kern w:val="0"/>
                <w:szCs w:val="24"/>
              </w:rPr>
            </w:pPr>
          </w:p>
          <w:p>
            <w:pPr>
              <w:rPr>
                <w:rFonts w:hint="default" w:ascii="Times New Roman" w:hAnsi="Times New Roman" w:eastAsia="宋体" w:cs="Times New Roman"/>
                <w:kern w:val="0"/>
                <w:sz w:val="24"/>
              </w:rPr>
            </w:pPr>
          </w:p>
          <w:p>
            <w:pPr>
              <w:pStyle w:val="2"/>
              <w:ind w:firstLine="480"/>
              <w:rPr>
                <w:rFonts w:hint="default" w:ascii="Times New Roman" w:hAnsi="Times New Roman" w:eastAsia="宋体" w:cs="Times New Roman"/>
                <w:kern w:val="0"/>
                <w:szCs w:val="24"/>
              </w:rPr>
            </w:pPr>
          </w:p>
          <w:p>
            <w:pPr>
              <w:adjustRightInd w:val="0"/>
              <w:snapToGrid w:val="0"/>
              <w:spacing w:line="360" w:lineRule="auto"/>
              <w:ind w:firstLine="480" w:firstLineChars="200"/>
              <w:rPr>
                <w:rFonts w:hint="default" w:ascii="Times New Roman" w:hAnsi="Times New Roman" w:eastAsia="宋体" w:cs="Times New Roman"/>
                <w:kern w:val="0"/>
                <w:sz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36" w:hRule="atLeast"/>
          <w:jc w:val="center"/>
        </w:trPr>
        <w:tc>
          <w:tcPr>
            <w:tcW w:w="800" w:type="dxa"/>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总量</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控制</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指标</w:t>
            </w:r>
          </w:p>
        </w:tc>
        <w:tc>
          <w:tcPr>
            <w:tcW w:w="8190" w:type="dxa"/>
            <w:vAlign w:val="center"/>
          </w:tcPr>
          <w:p>
            <w:pPr>
              <w:widowControl/>
              <w:adjustRightInd w:val="0"/>
              <w:snapToGrid w:val="0"/>
              <w:spacing w:line="360" w:lineRule="auto"/>
              <w:ind w:left="55" w:leftChars="26" w:right="109" w:rightChars="52" w:firstLine="482"/>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根据淄博市生态环境局发布的《关于统筹使用“十四五”建设项目主要大气污染物总量指标的通知》（淄环函〔2021〕55号）总量指标使用原则，所有建设项目的主要大气污染物指标（二氧化硫、氮氧化物、颗粒物、挥发性有机物）的总量替代原则需严格按照《山东省建设项目主要大气污染物排放总量替代指标核算及管理办法》（鲁环发〔2019〕132号）、《山东省人民政府办公厅关于加强"两高"项目管理的通知》（鲁政办字〔2021〕57号）文件要求进行，由我市上一年度环境空气质量年平均浓度及细颗粒物年平均浓度的数据情况而定。若上一年度环境空气质量年平均浓度达标，则实施相关污染物进行等量替代；若上一年度环境空气质量年平均浓度不达标，相关污染物应按照建设项目所需替代的污染物排放总量指标的2倍进行削减替代（燃煤发电机组大气污染物排放浓度达到超低排放标准的进行等量替代）。2020年淄博市环境空气质量平均浓度不达标，因此总量实行倍量替代。</w:t>
            </w:r>
          </w:p>
          <w:p>
            <w:pPr>
              <w:widowControl/>
              <w:adjustRightInd w:val="0"/>
              <w:snapToGrid w:val="0"/>
              <w:spacing w:line="360" w:lineRule="auto"/>
              <w:ind w:left="55" w:leftChars="26" w:right="109" w:rightChars="52" w:firstLine="482"/>
              <w:rPr>
                <w:rFonts w:hint="default" w:ascii="Times New Roman" w:hAnsi="Times New Roman" w:eastAsia="宋体" w:cs="Times New Roman"/>
                <w:color w:val="000000"/>
                <w:kern w:val="0"/>
                <w:sz w:val="24"/>
                <w:lang w:eastAsia="zh-CN"/>
              </w:rPr>
            </w:pPr>
            <w:r>
              <w:rPr>
                <w:rFonts w:hint="default" w:ascii="Times New Roman" w:hAnsi="Times New Roman" w:eastAsia="宋体" w:cs="Times New Roman"/>
                <w:color w:val="000000"/>
                <w:kern w:val="0"/>
                <w:sz w:val="24"/>
              </w:rPr>
              <w:t>（1）大气污染物</w:t>
            </w:r>
          </w:p>
          <w:p>
            <w:pPr>
              <w:widowControl/>
              <w:adjustRightInd w:val="0"/>
              <w:snapToGrid w:val="0"/>
              <w:spacing w:line="360" w:lineRule="auto"/>
              <w:ind w:left="55" w:leftChars="26" w:right="109" w:rightChars="52" w:firstLine="482"/>
              <w:rPr>
                <w:rFonts w:hint="default" w:ascii="Times New Roman" w:hAnsi="Times New Roman" w:eastAsia="宋体" w:cs="Times New Roman"/>
                <w:kern w:val="0"/>
                <w:sz w:val="24"/>
              </w:rPr>
            </w:pPr>
            <w:r>
              <w:rPr>
                <w:rFonts w:hint="default" w:ascii="Times New Roman" w:hAnsi="Times New Roman" w:eastAsia="宋体" w:cs="Times New Roman"/>
                <w:kern w:val="0"/>
                <w:sz w:val="24"/>
              </w:rPr>
              <w:t>液化石油气燃烧产生的颗粒物、SO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w:t>
            </w:r>
            <w:r>
              <w:rPr>
                <w:rFonts w:hint="default" w:ascii="Times New Roman" w:hAnsi="Times New Roman" w:eastAsia="宋体" w:cs="Times New Roman"/>
                <w:kern w:val="0"/>
                <w:sz w:val="24"/>
                <w:vertAlign w:val="subscript"/>
              </w:rPr>
              <w:t>X</w:t>
            </w:r>
            <w:r>
              <w:rPr>
                <w:rFonts w:hint="default" w:ascii="Times New Roman" w:hAnsi="Times New Roman" w:eastAsia="宋体" w:cs="Times New Roman"/>
                <w:kern w:val="0"/>
                <w:sz w:val="24"/>
              </w:rPr>
              <w:t>密闭西车间及北车间内无组织排放</w:t>
            </w:r>
            <w:r>
              <w:rPr>
                <w:rFonts w:hint="eastAsia" w:cs="Times New Roman"/>
                <w:kern w:val="0"/>
                <w:sz w:val="24"/>
                <w:lang w:eastAsia="zh-CN"/>
              </w:rPr>
              <w:t>；</w:t>
            </w:r>
            <w:r>
              <w:rPr>
                <w:rFonts w:hint="default" w:ascii="Times New Roman" w:hAnsi="Times New Roman" w:eastAsia="宋体" w:cs="Times New Roman"/>
                <w:kern w:val="0"/>
                <w:sz w:val="24"/>
                <w:lang w:val="en-US" w:eastAsia="zh-CN"/>
              </w:rPr>
              <w:t>技改项目建成后全厂</w:t>
            </w:r>
            <w:r>
              <w:rPr>
                <w:rFonts w:hint="eastAsia" w:cs="Times New Roman"/>
                <w:kern w:val="0"/>
                <w:sz w:val="24"/>
                <w:lang w:val="en-US" w:eastAsia="zh-CN"/>
              </w:rPr>
              <w:t>，二氧化硫排放量为0.0095t/a，氮氧化物排放量为0.0825t/a，颗粒物排放量为0.0013t/a</w:t>
            </w:r>
            <w:r>
              <w:rPr>
                <w:rFonts w:hint="default" w:ascii="Times New Roman" w:hAnsi="Times New Roman" w:eastAsia="宋体" w:cs="Times New Roman"/>
                <w:kern w:val="0"/>
                <w:sz w:val="24"/>
              </w:rPr>
              <w:t>。</w:t>
            </w:r>
          </w:p>
          <w:p>
            <w:pPr>
              <w:widowControl/>
              <w:adjustRightInd w:val="0"/>
              <w:snapToGrid w:val="0"/>
              <w:spacing w:line="360" w:lineRule="auto"/>
              <w:ind w:left="55" w:leftChars="26" w:right="109" w:rightChars="52" w:firstLine="482"/>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rPr>
              <w:t>（2）水污染物</w:t>
            </w:r>
          </w:p>
          <w:p>
            <w:pPr>
              <w:widowControl/>
              <w:adjustRightInd w:val="0"/>
              <w:snapToGrid w:val="0"/>
              <w:spacing w:line="360" w:lineRule="auto"/>
              <w:ind w:left="55" w:leftChars="26" w:right="109" w:rightChars="52" w:firstLine="482"/>
              <w:rPr>
                <w:rFonts w:hint="default" w:ascii="Times New Roman" w:hAnsi="Times New Roman" w:eastAsia="宋体" w:cs="Times New Roman"/>
                <w:kern w:val="0"/>
                <w:sz w:val="24"/>
              </w:rPr>
            </w:pP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运营过程中</w:t>
            </w:r>
            <w:r>
              <w:rPr>
                <w:rFonts w:hint="eastAsia" w:ascii="Times New Roman" w:hAnsi="Times New Roman" w:eastAsia="宋体" w:cs="Times New Roman"/>
                <w:kern w:val="0"/>
                <w:sz w:val="24"/>
                <w:lang w:eastAsia="zh-CN"/>
              </w:rPr>
              <w:t>无废水外排，项目建成后全厂</w:t>
            </w:r>
            <w:r>
              <w:rPr>
                <w:rFonts w:hint="default" w:ascii="Times New Roman" w:hAnsi="Times New Roman" w:eastAsia="宋体" w:cs="Times New Roman"/>
                <w:kern w:val="0"/>
                <w:sz w:val="24"/>
              </w:rPr>
              <w:t>废水主要为职工生活污水，经旱厕暂存用作周边农田农肥。</w:t>
            </w:r>
          </w:p>
          <w:p>
            <w:pPr>
              <w:widowControl/>
              <w:adjustRightInd w:val="0"/>
              <w:snapToGrid w:val="0"/>
              <w:spacing w:line="360" w:lineRule="auto"/>
              <w:ind w:left="55" w:leftChars="26" w:right="109" w:rightChars="52" w:firstLine="482"/>
              <w:rPr>
                <w:rFonts w:hint="default" w:ascii="Times New Roman" w:hAnsi="Times New Roman" w:eastAsia="宋体" w:cs="Times New Roman"/>
                <w:color w:val="0000FF"/>
                <w:kern w:val="0"/>
                <w:sz w:val="24"/>
              </w:rPr>
            </w:pPr>
            <w:r>
              <w:rPr>
                <w:rFonts w:hint="default" w:ascii="Times New Roman" w:hAnsi="Times New Roman" w:eastAsia="宋体" w:cs="Times New Roman"/>
                <w:kern w:val="0"/>
                <w:sz w:val="24"/>
              </w:rPr>
              <w:t>综上，需申请总量控制指标为</w:t>
            </w:r>
            <w:r>
              <w:rPr>
                <w:rFonts w:hint="eastAsia" w:cs="Times New Roman"/>
                <w:kern w:val="0"/>
                <w:sz w:val="24"/>
                <w:lang w:eastAsia="zh-CN"/>
              </w:rPr>
              <w:t>二氧化硫</w:t>
            </w:r>
            <w:r>
              <w:rPr>
                <w:rFonts w:hint="eastAsia" w:cs="Times New Roman"/>
                <w:kern w:val="0"/>
                <w:sz w:val="24"/>
                <w:lang w:val="en-US" w:eastAsia="zh-CN"/>
              </w:rPr>
              <w:t>0.0095t/a，氮氧化物0.0825t/a，颗粒物0.0013t/a</w:t>
            </w:r>
            <w:r>
              <w:rPr>
                <w:rFonts w:hint="default" w:ascii="Times New Roman" w:hAnsi="Times New Roman" w:eastAsia="宋体" w:cs="Times New Roman"/>
                <w:kern w:val="0"/>
                <w:sz w:val="24"/>
              </w:rPr>
              <w:t>。</w:t>
            </w:r>
          </w:p>
          <w:p>
            <w:pPr>
              <w:widowControl/>
              <w:adjustRightInd w:val="0"/>
              <w:snapToGrid w:val="0"/>
              <w:spacing w:line="360" w:lineRule="auto"/>
              <w:ind w:left="55" w:leftChars="26" w:right="109" w:rightChars="52" w:firstLine="482"/>
              <w:rPr>
                <w:rFonts w:hint="default" w:ascii="Times New Roman" w:hAnsi="Times New Roman" w:eastAsia="宋体" w:cs="Times New Roman"/>
                <w:kern w:val="0"/>
                <w:sz w:val="24"/>
              </w:rPr>
            </w:pPr>
          </w:p>
        </w:tc>
      </w:tr>
    </w:tbl>
    <w:p>
      <w:pPr>
        <w:pStyle w:val="17"/>
        <w:jc w:val="center"/>
        <w:outlineLvl w:val="0"/>
        <w:rPr>
          <w:rFonts w:hint="default" w:ascii="Times New Roman" w:hAnsi="Times New Roman" w:eastAsia="宋体" w:cs="Times New Roman"/>
          <w:snapToGrid w:val="0"/>
          <w:kern w:val="0"/>
          <w:sz w:val="30"/>
          <w:szCs w:val="30"/>
        </w:rPr>
      </w:pPr>
      <w:r>
        <w:rPr>
          <w:rFonts w:hint="default" w:ascii="Times New Roman" w:hAnsi="Times New Roman" w:eastAsia="宋体" w:cs="Times New Roman"/>
          <w:snapToGrid w:val="0"/>
          <w:kern w:val="0"/>
          <w:sz w:val="36"/>
          <w:szCs w:val="36"/>
        </w:rPr>
        <w:br w:type="page"/>
      </w:r>
      <w:r>
        <w:rPr>
          <w:rFonts w:hint="default" w:ascii="Times New Roman" w:hAnsi="Times New Roman" w:eastAsia="宋体" w:cs="Times New Roman"/>
          <w:b/>
          <w:bCs/>
          <w:snapToGrid w:val="0"/>
          <w:kern w:val="0"/>
          <w:sz w:val="30"/>
          <w:szCs w:val="30"/>
        </w:rPr>
        <w:t>四、主要环境影响和保护措施</w:t>
      </w:r>
    </w:p>
    <w:tbl>
      <w:tblPr>
        <w:tblStyle w:val="1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83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34" w:hRule="atLeast"/>
          <w:jc w:val="center"/>
        </w:trPr>
        <w:tc>
          <w:tcPr>
            <w:tcW w:w="536" w:type="dxa"/>
            <w:tcMar>
              <w:left w:w="28" w:type="dxa"/>
              <w:right w:w="28" w:type="dxa"/>
            </w:tcMar>
            <w:vAlign w:val="center"/>
          </w:tcPr>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运营</w:t>
            </w:r>
          </w:p>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期环</w:t>
            </w:r>
          </w:p>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境影</w:t>
            </w:r>
          </w:p>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响和</w:t>
            </w:r>
          </w:p>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保护</w:t>
            </w:r>
          </w:p>
          <w:p>
            <w:pPr>
              <w:adjustRightInd w:val="0"/>
              <w:snapToGrid w:val="0"/>
              <w:jc w:val="center"/>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措施</w:t>
            </w:r>
          </w:p>
        </w:tc>
        <w:tc>
          <w:tcPr>
            <w:tcW w:w="8372" w:type="dxa"/>
            <w:vAlign w:val="center"/>
          </w:tcPr>
          <w:p>
            <w:pPr>
              <w:numPr>
                <w:ilvl w:val="0"/>
                <w:numId w:val="6"/>
              </w:numPr>
              <w:adjustRightInd w:val="0"/>
              <w:snapToGrid w:val="0"/>
              <w:spacing w:line="360" w:lineRule="auto"/>
              <w:rPr>
                <w:rFonts w:hint="default" w:ascii="Times New Roman" w:hAnsi="Times New Roman" w:eastAsia="宋体" w:cs="Times New Roman"/>
                <w:b/>
                <w:kern w:val="0"/>
                <w:sz w:val="24"/>
                <w:lang w:eastAsia="zh-CN"/>
              </w:rPr>
            </w:pPr>
            <w:r>
              <w:rPr>
                <w:rFonts w:hint="default" w:ascii="Times New Roman" w:hAnsi="Times New Roman" w:eastAsia="宋体" w:cs="Times New Roman"/>
                <w:b/>
                <w:kern w:val="0"/>
                <w:sz w:val="24"/>
                <w:lang w:eastAsia="zh-CN"/>
              </w:rPr>
              <w:t>施工期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lang w:eastAsia="zh-CN"/>
              </w:rPr>
            </w:pPr>
            <w:r>
              <w:rPr>
                <w:rFonts w:hint="eastAsia" w:ascii="Times New Roman" w:hAnsi="Times New Roman" w:eastAsia="宋体" w:cs="Times New Roman"/>
                <w:caps w:val="0"/>
                <w:color w:val="auto"/>
                <w:spacing w:val="0"/>
                <w:kern w:val="0"/>
                <w:position w:val="0"/>
                <w:sz w:val="24"/>
                <w:szCs w:val="24"/>
                <w:highlight w:val="none"/>
                <w:lang w:eastAsia="zh-CN"/>
              </w:rPr>
              <w:t>技改项目</w:t>
            </w:r>
            <w:r>
              <w:rPr>
                <w:rFonts w:hint="default" w:ascii="Times New Roman" w:hAnsi="Times New Roman" w:eastAsia="宋体" w:cs="Times New Roman"/>
                <w:caps w:val="0"/>
                <w:color w:val="auto"/>
                <w:spacing w:val="0"/>
                <w:kern w:val="0"/>
                <w:position w:val="0"/>
                <w:sz w:val="24"/>
                <w:szCs w:val="24"/>
                <w:highlight w:val="none"/>
                <w:lang w:eastAsia="zh-CN"/>
              </w:rPr>
              <w:t>利用现有厂房生产，不需要施工建设，因此本次环评不对施工期环境影响进行分析评价</w:t>
            </w:r>
            <w:r>
              <w:rPr>
                <w:rFonts w:hint="default" w:ascii="Times New Roman" w:hAnsi="Times New Roman" w:eastAsia="宋体" w:cs="Times New Roman"/>
                <w:kern w:val="0"/>
                <w:lang w:eastAsia="zh-CN"/>
              </w:rPr>
              <w:t>。</w:t>
            </w:r>
          </w:p>
          <w:p>
            <w:pPr>
              <w:pStyle w:val="2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kern w:val="0"/>
                <w:lang w:eastAsia="zh-CN"/>
              </w:rPr>
            </w:pPr>
            <w:r>
              <w:rPr>
                <w:rFonts w:hint="default" w:ascii="Times New Roman" w:hAnsi="Times New Roman" w:eastAsia="宋体" w:cs="Times New Roman"/>
                <w:b/>
                <w:bCs/>
                <w:kern w:val="0"/>
                <w:lang w:eastAsia="zh-CN"/>
              </w:rPr>
              <w:t>运营期</w:t>
            </w:r>
          </w:p>
          <w:p>
            <w:pPr>
              <w:adjustRightInd w:val="0"/>
              <w:snapToGrid w:val="0"/>
              <w:spacing w:line="360" w:lineRule="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1、废气</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（1）废气产生及排放情况</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eastAsia="zh-CN"/>
              </w:rPr>
              <w:t>技改</w:t>
            </w:r>
            <w:r>
              <w:rPr>
                <w:rFonts w:hint="eastAsia" w:ascii="Times New Roman" w:hAnsi="Times New Roman" w:eastAsia="宋体" w:cs="Times New Roman"/>
                <w:kern w:val="0"/>
                <w:sz w:val="24"/>
                <w:lang w:eastAsia="zh-CN"/>
              </w:rPr>
              <w:t>项目</w:t>
            </w:r>
            <w:r>
              <w:rPr>
                <w:rFonts w:hint="default" w:ascii="Times New Roman" w:hAnsi="Times New Roman" w:eastAsia="宋体" w:cs="Times New Roman"/>
                <w:kern w:val="0"/>
                <w:sz w:val="24"/>
              </w:rPr>
              <w:t>废气主要为</w:t>
            </w:r>
            <w:r>
              <w:rPr>
                <w:rFonts w:hint="default" w:ascii="Times New Roman" w:hAnsi="Times New Roman" w:eastAsia="宋体" w:cs="Times New Roman"/>
                <w:kern w:val="0"/>
                <w:sz w:val="24"/>
                <w:lang w:eastAsia="zh-CN"/>
              </w:rPr>
              <w:t>下料、瓶底处理、压颈、封口工序</w:t>
            </w:r>
            <w:r>
              <w:rPr>
                <w:rFonts w:hint="default" w:ascii="Times New Roman" w:hAnsi="Times New Roman" w:eastAsia="宋体" w:cs="Times New Roman"/>
                <w:kern w:val="0"/>
                <w:sz w:val="24"/>
              </w:rPr>
              <w:t>液化石油气燃烧产生的颗粒物、SO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、NOx。</w:t>
            </w:r>
          </w:p>
          <w:p>
            <w:pPr>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表4-1 大气污染物排放情况表</w:t>
            </w:r>
          </w:p>
          <w:tbl>
            <w:tblPr>
              <w:tblStyle w:val="1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27"/>
              <w:gridCol w:w="1743"/>
              <w:gridCol w:w="1452"/>
              <w:gridCol w:w="1452"/>
              <w:gridCol w:w="1460"/>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eastAsia"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rPr>
                    <w:t>产污</w:t>
                  </w:r>
                  <w:r>
                    <w:rPr>
                      <w:rFonts w:hint="eastAsia" w:ascii="Times New Roman" w:hAnsi="Times New Roman" w:eastAsia="宋体" w:cs="Times New Roman"/>
                      <w:b/>
                      <w:bCs/>
                      <w:kern w:val="0"/>
                      <w:szCs w:val="21"/>
                      <w:lang w:eastAsia="zh-CN"/>
                    </w:rPr>
                    <w:t>节点</w:t>
                  </w:r>
                </w:p>
              </w:tc>
              <w:tc>
                <w:tcPr>
                  <w:tcW w:w="2678" w:type="pct"/>
                  <w:gridSpan w:val="3"/>
                  <w:tcBorders>
                    <w:right w:val="single" w:color="auto" w:sz="4" w:space="0"/>
                  </w:tcBorders>
                  <w:vAlign w:val="center"/>
                </w:tcPr>
                <w:p>
                  <w:pPr>
                    <w:pStyle w:val="32"/>
                    <w:adjustRightInd w:val="0"/>
                    <w:snapToGrid w:val="0"/>
                    <w:jc w:val="center"/>
                    <w:rPr>
                      <w:rFonts w:hint="default" w:ascii="Times New Roman" w:hAnsi="Times New Roman" w:eastAsia="宋体" w:cs="Times New Roman"/>
                      <w:b/>
                      <w:bCs/>
                      <w:kern w:val="0"/>
                      <w:szCs w:val="21"/>
                      <w:lang w:bidi="zh-CN"/>
                    </w:rPr>
                  </w:pPr>
                  <w:r>
                    <w:rPr>
                      <w:rFonts w:hint="default" w:ascii="Times New Roman" w:hAnsi="Times New Roman" w:eastAsia="宋体" w:cs="Times New Roman"/>
                      <w:b/>
                      <w:bCs/>
                      <w:kern w:val="0"/>
                      <w:szCs w:val="21"/>
                      <w:lang w:eastAsia="zh-CN"/>
                    </w:rPr>
                    <w:t>下料、瓶底处理、压颈、封口工序</w:t>
                  </w:r>
                  <w:r>
                    <w:rPr>
                      <w:rFonts w:hint="default" w:ascii="Times New Roman" w:hAnsi="Times New Roman" w:eastAsia="宋体" w:cs="Times New Roman"/>
                      <w:b/>
                      <w:bCs/>
                      <w:kern w:val="0"/>
                      <w:szCs w:val="21"/>
                    </w:rPr>
                    <w:t>液化石油气燃烧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污染物种类</w:t>
                  </w:r>
                </w:p>
              </w:tc>
              <w:tc>
                <w:tcPr>
                  <w:tcW w:w="891"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rPr>
                    <w:t>颗粒物</w:t>
                  </w:r>
                </w:p>
              </w:tc>
              <w:tc>
                <w:tcPr>
                  <w:tcW w:w="891"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lang w:bidi="zh-CN"/>
                    </w:rPr>
                    <w:t>二氧化硫</w:t>
                  </w:r>
                </w:p>
              </w:tc>
              <w:tc>
                <w:tcPr>
                  <w:tcW w:w="894"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rPr>
                    <w:t>氮氧化物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77"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污染物产生浓度</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bidi="ar"/>
                    </w:rPr>
                    <w:t>/</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894"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污染物产生量</w:t>
                  </w:r>
                </w:p>
              </w:tc>
              <w:tc>
                <w:tcPr>
                  <w:tcW w:w="891" w:type="pct"/>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lang w:eastAsia="zh-CN" w:bidi="ar"/>
                    </w:rPr>
                    <w:t>0.0013</w:t>
                  </w:r>
                  <w:r>
                    <w:rPr>
                      <w:rFonts w:hint="default" w:ascii="Times New Roman" w:hAnsi="Times New Roman" w:eastAsia="宋体" w:cs="Times New Roman"/>
                      <w:kern w:val="0"/>
                      <w:szCs w:val="21"/>
                      <w:lang w:bidi="ar"/>
                    </w:rPr>
                    <w:t>t/a</w:t>
                  </w:r>
                </w:p>
              </w:tc>
              <w:tc>
                <w:tcPr>
                  <w:tcW w:w="891" w:type="pct"/>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shd w:val="clear" w:color="auto" w:fill="FFFFFF"/>
                      <w:lang w:eastAsia="zh-CN"/>
                    </w:rPr>
                    <w:t>0.0095</w:t>
                  </w:r>
                  <w:r>
                    <w:rPr>
                      <w:rFonts w:hint="default" w:ascii="Times New Roman" w:hAnsi="Times New Roman" w:eastAsia="宋体" w:cs="Times New Roman"/>
                      <w:kern w:val="0"/>
                      <w:szCs w:val="21"/>
                      <w:shd w:val="clear" w:color="auto" w:fill="FFFFFF"/>
                    </w:rPr>
                    <w:t>t/a</w:t>
                  </w:r>
                </w:p>
              </w:tc>
              <w:tc>
                <w:tcPr>
                  <w:tcW w:w="894" w:type="pct"/>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lang w:eastAsia="zh-CN"/>
                    </w:rPr>
                    <w:t>0.0825</w:t>
                  </w:r>
                  <w:r>
                    <w:rPr>
                      <w:rFonts w:hint="default" w:ascii="Times New Roman" w:hAnsi="Times New Roman" w:eastAsia="宋体" w:cs="Times New Roman"/>
                      <w:kern w:val="0"/>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排放形式</w:t>
                  </w:r>
                </w:p>
              </w:tc>
              <w:tc>
                <w:tcPr>
                  <w:tcW w:w="891" w:type="pct"/>
                  <w:vAlign w:val="center"/>
                </w:tcPr>
                <w:p>
                  <w:pPr>
                    <w:pStyle w:val="32"/>
                    <w:adjustRightInd w:val="0"/>
                    <w:snapToGrid w:val="0"/>
                    <w:jc w:val="center"/>
                    <w:rPr>
                      <w:rFonts w:hint="default" w:ascii="Times New Roman" w:hAnsi="Times New Roman" w:eastAsia="宋体" w:cs="Times New Roman"/>
                      <w:kern w:val="0"/>
                      <w:szCs w:val="21"/>
                      <w:lang w:val="zh-CN" w:bidi="zh-CN"/>
                    </w:rPr>
                  </w:pPr>
                  <w:r>
                    <w:rPr>
                      <w:rFonts w:hint="default" w:ascii="Times New Roman" w:hAnsi="Times New Roman" w:eastAsia="宋体" w:cs="Times New Roman"/>
                      <w:kern w:val="0"/>
                      <w:szCs w:val="21"/>
                    </w:rPr>
                    <w:t>无组织连续</w:t>
                  </w:r>
                </w:p>
              </w:tc>
              <w:tc>
                <w:tcPr>
                  <w:tcW w:w="891" w:type="pct"/>
                  <w:vAlign w:val="center"/>
                </w:tcPr>
                <w:p>
                  <w:pPr>
                    <w:pStyle w:val="32"/>
                    <w:adjustRightInd w:val="0"/>
                    <w:snapToGrid w:val="0"/>
                    <w:jc w:val="center"/>
                    <w:rPr>
                      <w:rFonts w:hint="default" w:ascii="Times New Roman" w:hAnsi="Times New Roman" w:eastAsia="宋体" w:cs="Times New Roman"/>
                      <w:kern w:val="0"/>
                      <w:szCs w:val="21"/>
                      <w:lang w:val="zh-CN" w:bidi="zh-CN"/>
                    </w:rPr>
                  </w:pPr>
                  <w:r>
                    <w:rPr>
                      <w:rFonts w:hint="default" w:ascii="Times New Roman" w:hAnsi="Times New Roman" w:eastAsia="宋体" w:cs="Times New Roman"/>
                      <w:kern w:val="0"/>
                      <w:szCs w:val="21"/>
                    </w:rPr>
                    <w:t>无组织连续</w:t>
                  </w:r>
                </w:p>
              </w:tc>
              <w:tc>
                <w:tcPr>
                  <w:tcW w:w="894" w:type="pct"/>
                  <w:vAlign w:val="center"/>
                </w:tcPr>
                <w:p>
                  <w:pPr>
                    <w:pStyle w:val="32"/>
                    <w:adjustRightInd w:val="0"/>
                    <w:snapToGrid w:val="0"/>
                    <w:jc w:val="center"/>
                    <w:rPr>
                      <w:rFonts w:hint="default" w:ascii="Times New Roman" w:hAnsi="Times New Roman" w:eastAsia="宋体" w:cs="Times New Roman"/>
                      <w:kern w:val="0"/>
                      <w:szCs w:val="21"/>
                      <w:lang w:val="zh-CN" w:bidi="zh-CN"/>
                    </w:rPr>
                  </w:pPr>
                  <w:r>
                    <w:rPr>
                      <w:rFonts w:hint="default" w:ascii="Times New Roman" w:hAnsi="Times New Roman" w:eastAsia="宋体" w:cs="Times New Roman"/>
                      <w:kern w:val="0"/>
                      <w:szCs w:val="21"/>
                    </w:rPr>
                    <w:t>无组织连续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排放时长h</w:t>
                  </w:r>
                </w:p>
              </w:tc>
              <w:tc>
                <w:tcPr>
                  <w:tcW w:w="891"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rPr>
                    <w:t>2240</w:t>
                  </w:r>
                </w:p>
              </w:tc>
              <w:tc>
                <w:tcPr>
                  <w:tcW w:w="891"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rPr>
                    <w:t>2240</w:t>
                  </w:r>
                </w:p>
              </w:tc>
              <w:tc>
                <w:tcPr>
                  <w:tcW w:w="894"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rPr>
                    <w:t>2240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1245" w:type="pct"/>
                  <w:vMerge w:val="restar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治理措施</w:t>
                  </w: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措施名称</w:t>
                  </w:r>
                </w:p>
              </w:tc>
              <w:tc>
                <w:tcPr>
                  <w:tcW w:w="891"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bCs/>
                      <w:kern w:val="0"/>
                      <w:szCs w:val="21"/>
                      <w:lang w:bidi="zh-CN"/>
                    </w:rPr>
                  </w:pPr>
                  <w:r>
                    <w:rPr>
                      <w:rFonts w:hint="default" w:ascii="Times New Roman" w:hAnsi="Times New Roman" w:eastAsia="宋体" w:cs="Times New Roman"/>
                      <w:bCs/>
                      <w:kern w:val="0"/>
                      <w:szCs w:val="21"/>
                    </w:rPr>
                    <w:t>/</w:t>
                  </w:r>
                </w:p>
              </w:tc>
              <w:tc>
                <w:tcPr>
                  <w:tcW w:w="891"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bCs/>
                      <w:kern w:val="0"/>
                      <w:szCs w:val="21"/>
                      <w:lang w:bidi="zh-CN"/>
                    </w:rPr>
                  </w:pPr>
                  <w:r>
                    <w:rPr>
                      <w:rFonts w:hint="default" w:ascii="Times New Roman" w:hAnsi="Times New Roman" w:eastAsia="宋体" w:cs="Times New Roman"/>
                      <w:bCs/>
                      <w:kern w:val="0"/>
                      <w:szCs w:val="21"/>
                    </w:rPr>
                    <w:t>/</w:t>
                  </w:r>
                </w:p>
              </w:tc>
              <w:tc>
                <w:tcPr>
                  <w:tcW w:w="894"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bCs/>
                      <w:kern w:val="0"/>
                      <w:szCs w:val="21"/>
                      <w:lang w:bidi="zh-CN"/>
                    </w:rPr>
                  </w:pPr>
                  <w:r>
                    <w:rPr>
                      <w:rFonts w:hint="default" w:ascii="Times New Roman" w:hAnsi="Times New Roman" w:eastAsia="宋体" w:cs="Times New Roman"/>
                      <w:bCs/>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处理能力</w:t>
                  </w:r>
                </w:p>
              </w:tc>
              <w:tc>
                <w:tcPr>
                  <w:tcW w:w="891"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bCs/>
                      <w:kern w:val="0"/>
                      <w:szCs w:val="21"/>
                    </w:rPr>
                    <w:t>/</w:t>
                  </w:r>
                </w:p>
              </w:tc>
              <w:tc>
                <w:tcPr>
                  <w:tcW w:w="891"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bCs/>
                      <w:kern w:val="0"/>
                      <w:szCs w:val="21"/>
                    </w:rPr>
                    <w:t>/</w:t>
                  </w:r>
                </w:p>
              </w:tc>
              <w:tc>
                <w:tcPr>
                  <w:tcW w:w="894" w:type="pct"/>
                  <w:tcBorders>
                    <w:right w:val="single" w:color="auto" w:sz="4" w:space="0"/>
                  </w:tcBorders>
                  <w:vAlign w:val="center"/>
                </w:tcPr>
                <w:p>
                  <w:pPr>
                    <w:pStyle w:val="32"/>
                    <w:adjustRightInd w:val="0"/>
                    <w:snapToGrid w:val="0"/>
                    <w:jc w:val="center"/>
                    <w:rPr>
                      <w:rFonts w:hint="default" w:ascii="Times New Roman" w:hAnsi="Times New Roman" w:eastAsia="宋体" w:cs="Times New Roman"/>
                      <w:bCs/>
                      <w:kern w:val="0"/>
                      <w:szCs w:val="21"/>
                      <w:lang w:bidi="zh-CN"/>
                    </w:rPr>
                  </w:pPr>
                  <w:r>
                    <w:rPr>
                      <w:rFonts w:hint="default" w:ascii="Times New Roman" w:hAnsi="Times New Roman" w:eastAsia="宋体" w:cs="Times New Roman"/>
                      <w:bCs/>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是否可行技术</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894"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收集效率%</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894"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去除效率%</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894"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污染物排放量（速率）</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lang w:eastAsia="zh-CN"/>
                    </w:rPr>
                    <w:t>0.00058</w:t>
                  </w:r>
                  <w:r>
                    <w:rPr>
                      <w:rFonts w:hint="default" w:ascii="Times New Roman" w:hAnsi="Times New Roman" w:eastAsia="宋体" w:cs="Times New Roman"/>
                      <w:kern w:val="0"/>
                      <w:szCs w:val="21"/>
                    </w:rPr>
                    <w:t>kg/h</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lang w:eastAsia="zh-CN"/>
                    </w:rPr>
                    <w:t>0.0042</w:t>
                  </w:r>
                  <w:r>
                    <w:rPr>
                      <w:rFonts w:hint="default" w:ascii="Times New Roman" w:hAnsi="Times New Roman" w:eastAsia="宋体" w:cs="Times New Roman"/>
                      <w:kern w:val="0"/>
                      <w:szCs w:val="21"/>
                    </w:rPr>
                    <w:t>kg/h</w:t>
                  </w:r>
                </w:p>
              </w:tc>
              <w:tc>
                <w:tcPr>
                  <w:tcW w:w="894"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lang w:eastAsia="zh-CN"/>
                    </w:rPr>
                    <w:t>0.0368</w:t>
                  </w:r>
                  <w:r>
                    <w:rPr>
                      <w:rFonts w:hint="default" w:ascii="Times New Roman" w:hAnsi="Times New Roman" w:eastAsia="宋体" w:cs="Times New Roman"/>
                      <w:kern w:val="0"/>
                      <w:szCs w:val="21"/>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排放浓度</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 w:val="21"/>
                      <w:szCs w:val="21"/>
                      <w:lang w:bidi="zh-CN"/>
                    </w:rPr>
                  </w:pPr>
                  <w:r>
                    <w:rPr>
                      <w:rFonts w:hint="eastAsia" w:ascii="Times New Roman" w:hAnsi="Times New Roman" w:eastAsia="宋体" w:cs="Times New Roman"/>
                      <w:kern w:val="0"/>
                      <w:sz w:val="21"/>
                      <w:szCs w:val="21"/>
                      <w:lang w:eastAsia="zh-CN"/>
                    </w:rPr>
                    <w:t>0.3758</w:t>
                  </w: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 w:val="21"/>
                      <w:szCs w:val="21"/>
                      <w:lang w:bidi="zh-CN"/>
                    </w:rPr>
                  </w:pPr>
                  <w:r>
                    <w:rPr>
                      <w:rFonts w:hint="eastAsia" w:ascii="Times New Roman" w:hAnsi="Times New Roman" w:eastAsia="宋体" w:cs="Times New Roman"/>
                      <w:kern w:val="0"/>
                      <w:sz w:val="21"/>
                      <w:szCs w:val="21"/>
                      <w:lang w:eastAsia="zh-CN"/>
                    </w:rPr>
                    <w:t>2.6842</w:t>
                  </w: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p>
              </w:tc>
              <w:tc>
                <w:tcPr>
                  <w:tcW w:w="894"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23.5444</w:t>
                  </w: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排放量</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lang w:eastAsia="zh-CN" w:bidi="ar"/>
                    </w:rPr>
                    <w:t>0.0013</w:t>
                  </w:r>
                  <w:r>
                    <w:rPr>
                      <w:rFonts w:hint="default" w:ascii="Times New Roman" w:hAnsi="Times New Roman" w:eastAsia="宋体" w:cs="Times New Roman"/>
                      <w:kern w:val="0"/>
                      <w:szCs w:val="21"/>
                      <w:lang w:bidi="ar"/>
                    </w:rPr>
                    <w:t>t/a</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shd w:val="clear" w:color="auto" w:fill="FFFFFF"/>
                      <w:lang w:eastAsia="zh-CN"/>
                    </w:rPr>
                    <w:t>0.0095</w:t>
                  </w:r>
                  <w:r>
                    <w:rPr>
                      <w:rFonts w:hint="default" w:ascii="Times New Roman" w:hAnsi="Times New Roman" w:eastAsia="宋体" w:cs="Times New Roman"/>
                      <w:kern w:val="0"/>
                      <w:szCs w:val="21"/>
                      <w:shd w:val="clear" w:color="auto" w:fill="FFFFFF"/>
                    </w:rPr>
                    <w:t>t/a</w:t>
                  </w:r>
                </w:p>
              </w:tc>
              <w:tc>
                <w:tcPr>
                  <w:tcW w:w="894"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eastAsia" w:cs="Times New Roman"/>
                      <w:kern w:val="0"/>
                      <w:szCs w:val="21"/>
                      <w:lang w:eastAsia="zh-CN"/>
                    </w:rPr>
                    <w:t>0.0825</w:t>
                  </w:r>
                  <w:r>
                    <w:rPr>
                      <w:rFonts w:hint="default" w:ascii="Times New Roman" w:hAnsi="Times New Roman" w:eastAsia="宋体" w:cs="Times New Roman"/>
                      <w:kern w:val="0"/>
                      <w:szCs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pct"/>
                <w:trHeight w:val="23" w:hRule="atLeast"/>
              </w:trPr>
              <w:tc>
                <w:tcPr>
                  <w:tcW w:w="2315" w:type="pct"/>
                  <w:gridSpan w:val="2"/>
                  <w:vAlign w:val="center"/>
                </w:tcPr>
                <w:p>
                  <w:pPr>
                    <w:pStyle w:val="32"/>
                    <w:adjustRightInd w:val="0"/>
                    <w:snapToGrid w:val="0"/>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eastAsia="zh-CN"/>
                    </w:rPr>
                    <w:t>是否达标</w:t>
                  </w:r>
                  <w:r>
                    <w:rPr>
                      <w:rFonts w:hint="eastAsia" w:ascii="Times New Roman" w:hAnsi="Times New Roman" w:eastAsia="宋体" w:cs="Times New Roman"/>
                      <w:kern w:val="0"/>
                      <w:szCs w:val="21"/>
                      <w:lang w:eastAsia="zh-CN"/>
                    </w:rPr>
                    <w:t>排放</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lang w:eastAsia="zh-CN" w:bidi="ar"/>
                    </w:rPr>
                  </w:pPr>
                  <w:r>
                    <w:rPr>
                      <w:rFonts w:hint="default" w:ascii="Times New Roman" w:hAnsi="Times New Roman" w:eastAsia="宋体" w:cs="Times New Roman"/>
                      <w:kern w:val="0"/>
                      <w:szCs w:val="21"/>
                      <w:lang w:eastAsia="zh-CN" w:bidi="ar"/>
                    </w:rPr>
                    <w:t>是</w:t>
                  </w:r>
                </w:p>
              </w:tc>
              <w:tc>
                <w:tcPr>
                  <w:tcW w:w="891"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lang w:eastAsia="zh-CN" w:bidi="ar"/>
                    </w:rPr>
                  </w:pPr>
                  <w:r>
                    <w:rPr>
                      <w:rFonts w:hint="default" w:ascii="Times New Roman" w:hAnsi="Times New Roman" w:eastAsia="宋体" w:cs="Times New Roman"/>
                      <w:kern w:val="0"/>
                      <w:szCs w:val="21"/>
                      <w:lang w:eastAsia="zh-CN" w:bidi="ar"/>
                    </w:rPr>
                    <w:t>是</w:t>
                  </w:r>
                </w:p>
              </w:tc>
              <w:tc>
                <w:tcPr>
                  <w:tcW w:w="894" w:type="pct"/>
                  <w:tcBorders>
                    <w:right w:val="single" w:color="auto" w:sz="4" w:space="0"/>
                  </w:tcBorders>
                  <w:vAlign w:val="center"/>
                </w:tcPr>
                <w:p>
                  <w:pPr>
                    <w:adjustRightInd w:val="0"/>
                    <w:snapToGrid w:val="0"/>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45" w:type="pct"/>
                  <w:vMerge w:val="restar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排放口基本情况</w:t>
                  </w: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编号</w:t>
                  </w:r>
                </w:p>
              </w:tc>
              <w:tc>
                <w:tcPr>
                  <w:tcW w:w="2684" w:type="pct"/>
                  <w:gridSpan w:val="4"/>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lang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名称</w:t>
                  </w:r>
                </w:p>
              </w:tc>
              <w:tc>
                <w:tcPr>
                  <w:tcW w:w="2684" w:type="pct"/>
                  <w:gridSpan w:val="4"/>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lang w:bidi="zh-CN"/>
                    </w:rPr>
                    <w:t>西车间、北车间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坐标</w:t>
                  </w:r>
                </w:p>
              </w:tc>
              <w:tc>
                <w:tcPr>
                  <w:tcW w:w="2684" w:type="pct"/>
                  <w:gridSpan w:val="4"/>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东经117.915419°</w:t>
                  </w:r>
                </w:p>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rPr>
                    <w:t>北纬36.724424°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排放口类型</w:t>
                  </w:r>
                </w:p>
              </w:tc>
              <w:tc>
                <w:tcPr>
                  <w:tcW w:w="2684" w:type="pct"/>
                  <w:gridSpan w:val="4"/>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lang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高度m</w:t>
                  </w:r>
                </w:p>
              </w:tc>
              <w:tc>
                <w:tcPr>
                  <w:tcW w:w="2684" w:type="pct"/>
                  <w:gridSpan w:val="4"/>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内径m</w:t>
                  </w:r>
                </w:p>
              </w:tc>
              <w:tc>
                <w:tcPr>
                  <w:tcW w:w="2684" w:type="pct"/>
                  <w:gridSpan w:val="4"/>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lang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45" w:type="pct"/>
                  <w:vMerge w:val="continue"/>
                  <w:tcBorders>
                    <w:top w:val="nil"/>
                  </w:tcBorders>
                  <w:vAlign w:val="center"/>
                </w:tcPr>
                <w:p>
                  <w:pPr>
                    <w:pStyle w:val="32"/>
                    <w:adjustRightInd w:val="0"/>
                    <w:snapToGrid w:val="0"/>
                    <w:jc w:val="center"/>
                    <w:rPr>
                      <w:rFonts w:hint="default" w:ascii="Times New Roman" w:hAnsi="Times New Roman" w:eastAsia="宋体" w:cs="Times New Roman"/>
                      <w:kern w:val="0"/>
                      <w:szCs w:val="21"/>
                    </w:rPr>
                  </w:pPr>
                </w:p>
              </w:tc>
              <w:tc>
                <w:tcPr>
                  <w:tcW w:w="1069" w:type="pct"/>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温度℃</w:t>
                  </w:r>
                </w:p>
              </w:tc>
              <w:tc>
                <w:tcPr>
                  <w:tcW w:w="2684" w:type="pct"/>
                  <w:gridSpan w:val="4"/>
                  <w:tcBorders>
                    <w:right w:val="single" w:color="auto" w:sz="4" w:space="0"/>
                  </w:tcBorders>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lang w:bidi="zh-CN"/>
                    </w:rPr>
                    <w:t>/</w:t>
                  </w:r>
                </w:p>
              </w:tc>
            </w:tr>
          </w:tbl>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备注：根据《排污许可证申请与核发技术规范 总则》（HJ942-2018），有机废气收集治理设施采用焚烧、吸附、催化分解及其他措施，两级活性炭吸附装置吸附属于可行技术。</w:t>
            </w:r>
          </w:p>
          <w:p>
            <w:pPr>
              <w:pStyle w:val="32"/>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本次环评废气产生源强依据如下表：</w:t>
            </w:r>
          </w:p>
          <w:p>
            <w:pPr>
              <w:pStyle w:val="32"/>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b/>
                <w:bCs/>
                <w:kern w:val="0"/>
                <w:sz w:val="24"/>
              </w:rPr>
              <w:t>表4-2 废气产生源强计算依据</w:t>
            </w:r>
          </w:p>
          <w:tbl>
            <w:tblPr>
              <w:tblStyle w:val="18"/>
              <w:tblW w:w="79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82"/>
              <w:gridCol w:w="2147"/>
              <w:gridCol w:w="3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2"/>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废气</w:t>
                  </w:r>
                </w:p>
              </w:tc>
              <w:tc>
                <w:tcPr>
                  <w:tcW w:w="2147" w:type="dxa"/>
                  <w:vAlign w:val="center"/>
                </w:tcPr>
                <w:p>
                  <w:pPr>
                    <w:pStyle w:val="32"/>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源强</w:t>
                  </w:r>
                </w:p>
              </w:tc>
              <w:tc>
                <w:tcPr>
                  <w:tcW w:w="3970" w:type="dxa"/>
                  <w:vAlign w:val="center"/>
                </w:tcPr>
                <w:p>
                  <w:pPr>
                    <w:pStyle w:val="32"/>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液化石油气燃烧工业废气量</w:t>
                  </w:r>
                </w:p>
              </w:tc>
              <w:tc>
                <w:tcPr>
                  <w:tcW w:w="2147"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bidi="ar"/>
                    </w:rPr>
                    <w:t>13237标立方米/吨－原料</w:t>
                  </w:r>
                </w:p>
              </w:tc>
              <w:tc>
                <w:tcPr>
                  <w:tcW w:w="3970"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bidi="ar"/>
                    </w:rPr>
                    <w:t>《排放源统计调查产排污核算方法和系数手册》“4430工业锅炉（热力生产和供应行业）产排污系数表－燃气工业锅炉”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液化石油气燃烧颗粒物</w:t>
                  </w:r>
                </w:p>
              </w:tc>
              <w:tc>
                <w:tcPr>
                  <w:tcW w:w="2147"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1.039千克/万立方米－原料</w:t>
                  </w:r>
                </w:p>
              </w:tc>
              <w:tc>
                <w:tcPr>
                  <w:tcW w:w="3970" w:type="dxa"/>
                  <w:vAlign w:val="center"/>
                </w:tcPr>
                <w:p>
                  <w:pPr>
                    <w:pStyle w:val="32"/>
                    <w:adjustRightInd w:val="0"/>
                    <w:snapToGrid w:val="0"/>
                    <w:jc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rPr>
                    <w:t>《关于发布计算污染物排放量的排污系数和物料衡算方法的公告》（环境保护部公告2017年第81号）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液化石油气燃烧二氧化硫</w:t>
                  </w:r>
                </w:p>
              </w:tc>
              <w:tc>
                <w:tcPr>
                  <w:tcW w:w="2147"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bCs/>
                      <w:kern w:val="0"/>
                      <w:szCs w:val="21"/>
                    </w:rPr>
                    <w:t>0.00092S</w:t>
                  </w:r>
                  <w:r>
                    <w:rPr>
                      <w:rFonts w:hint="default" w:ascii="Times New Roman" w:hAnsi="Times New Roman" w:eastAsia="宋体" w:cs="Times New Roman"/>
                      <w:kern w:val="0"/>
                      <w:szCs w:val="21"/>
                      <w:lang w:bidi="ar"/>
                    </w:rPr>
                    <w:t>千克/吨－原料</w:t>
                  </w:r>
                </w:p>
              </w:tc>
              <w:tc>
                <w:tcPr>
                  <w:tcW w:w="3970"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bidi="ar"/>
                    </w:rPr>
                    <w:t>《排放源统计调查产排污核算方法和系数手册》“4430工业锅炉（热力生产和供应行业）产排污系数表－燃气工业锅炉”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82" w:type="dxa"/>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rPr>
                    <w:t>液化石油气燃烧氮氧化物</w:t>
                  </w:r>
                </w:p>
              </w:tc>
              <w:tc>
                <w:tcPr>
                  <w:tcW w:w="2147" w:type="dxa"/>
                  <w:vAlign w:val="center"/>
                </w:tcPr>
                <w:p>
                  <w:pPr>
                    <w:pStyle w:val="32"/>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bidi="ar"/>
                    </w:rPr>
                    <w:t>2.75千克/吨－原料</w:t>
                  </w:r>
                </w:p>
              </w:tc>
              <w:tc>
                <w:tcPr>
                  <w:tcW w:w="3970" w:type="dxa"/>
                  <w:vAlign w:val="center"/>
                </w:tcPr>
                <w:p>
                  <w:pPr>
                    <w:pStyle w:val="32"/>
                    <w:adjustRightInd w:val="0"/>
                    <w:snapToGrid w:val="0"/>
                    <w:jc w:val="center"/>
                    <w:rPr>
                      <w:rFonts w:hint="default" w:ascii="Times New Roman" w:hAnsi="Times New Roman" w:eastAsia="宋体" w:cs="Times New Roman"/>
                      <w:kern w:val="0"/>
                      <w:szCs w:val="21"/>
                      <w:lang w:bidi="zh-CN"/>
                    </w:rPr>
                  </w:pPr>
                  <w:r>
                    <w:rPr>
                      <w:rFonts w:hint="default" w:ascii="Times New Roman" w:hAnsi="Times New Roman" w:eastAsia="宋体" w:cs="Times New Roman"/>
                      <w:kern w:val="0"/>
                      <w:szCs w:val="21"/>
                      <w:lang w:bidi="ar"/>
                    </w:rPr>
                    <w:t>《排放源统计调查产排污核算方法和系数手册》“4430工业锅炉（热力生产和供应行业）产排污系数表－燃气工业锅炉”</w:t>
                  </w:r>
                </w:p>
              </w:tc>
            </w:tr>
          </w:tbl>
          <w:p>
            <w:pPr>
              <w:adjustRightInd w:val="0"/>
              <w:snapToGrid w:val="0"/>
              <w:spacing w:line="360" w:lineRule="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注：产排污系数表中二氧化硫的产排污系数是以含硫量（S）的形式表示的，其中含硫量（S）是指燃气收到基硫分含量，单位为毫克/立方米。例如燃料中含硫量（S）为100毫克/立方米，则S=100。</w:t>
            </w:r>
          </w:p>
          <w:p>
            <w:pPr>
              <w:adjustRightInd w:val="0"/>
              <w:snapToGrid w:val="0"/>
              <w:spacing w:line="360" w:lineRule="auto"/>
              <w:ind w:firstLine="482" w:firstLineChars="200"/>
              <w:rPr>
                <w:rFonts w:hint="default" w:ascii="Times New Roman" w:hAnsi="Times New Roman" w:eastAsia="宋体" w:cs="Times New Roman"/>
                <w:kern w:val="0"/>
                <w:sz w:val="24"/>
              </w:rPr>
            </w:pPr>
            <w:r>
              <w:rPr>
                <w:rFonts w:hint="default" w:ascii="Times New Roman" w:hAnsi="Times New Roman" w:eastAsia="宋体" w:cs="Times New Roman"/>
                <w:b/>
                <w:bCs/>
                <w:kern w:val="0"/>
                <w:sz w:val="24"/>
              </w:rPr>
              <w:t>源强核算过程简述：</w:t>
            </w:r>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default" w:ascii="Times New Roman" w:hAnsi="Times New Roman" w:eastAsia="宋体" w:cs="Times New Roman"/>
                <w:kern w:val="0"/>
                <w:sz w:val="24"/>
              </w:rPr>
              <w:t>无组织</w:t>
            </w:r>
            <w:r>
              <w:rPr>
                <w:rFonts w:hint="eastAsia" w:cs="Times New Roman"/>
                <w:kern w:val="0"/>
                <w:sz w:val="24"/>
                <w:lang w:eastAsia="zh-CN"/>
              </w:rPr>
              <w:t>废气</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液化石油气燃烧产生的颗粒物、SO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w:t>
            </w:r>
            <w:r>
              <w:rPr>
                <w:rFonts w:hint="default" w:ascii="Times New Roman" w:hAnsi="Times New Roman" w:eastAsia="宋体" w:cs="Times New Roman"/>
                <w:kern w:val="0"/>
                <w:sz w:val="24"/>
                <w:vertAlign w:val="subscript"/>
              </w:rPr>
              <w:t>X</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根据企业提供数据，</w:t>
            </w:r>
            <w:r>
              <w:rPr>
                <w:rFonts w:hint="default" w:ascii="Times New Roman" w:hAnsi="Times New Roman" w:eastAsia="宋体" w:cs="Times New Roman"/>
                <w:kern w:val="0"/>
                <w:sz w:val="24"/>
                <w:lang w:eastAsia="zh-CN"/>
              </w:rPr>
              <w:t>技改</w:t>
            </w:r>
            <w:r>
              <w:rPr>
                <w:rFonts w:hint="eastAsia" w:cs="Times New Roman"/>
                <w:kern w:val="0"/>
                <w:sz w:val="24"/>
                <w:lang w:eastAsia="zh-CN"/>
              </w:rPr>
              <w:t>后全厂</w:t>
            </w:r>
            <w:r>
              <w:rPr>
                <w:rFonts w:hint="default" w:ascii="Times New Roman" w:hAnsi="Times New Roman" w:eastAsia="宋体" w:cs="Times New Roman"/>
                <w:kern w:val="0"/>
                <w:sz w:val="24"/>
              </w:rPr>
              <w:t>液化石油气年用量为</w:t>
            </w:r>
            <w:r>
              <w:rPr>
                <w:rFonts w:hint="eastAsia" w:cs="Times New Roman"/>
                <w:kern w:val="0"/>
                <w:sz w:val="24"/>
                <w:lang w:val="en-US" w:eastAsia="zh-CN"/>
              </w:rPr>
              <w:t>30</w:t>
            </w:r>
            <w:r>
              <w:rPr>
                <w:rFonts w:hint="default" w:ascii="Times New Roman" w:hAnsi="Times New Roman" w:eastAsia="宋体" w:cs="Times New Roman"/>
                <w:kern w:val="0"/>
                <w:sz w:val="24"/>
              </w:rPr>
              <w:t>t/a，气态液化石油气每公斤约合0.42m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，则年用液化石油气体积为1.</w:t>
            </w:r>
            <w:r>
              <w:rPr>
                <w:rFonts w:hint="eastAsia" w:cs="Times New Roman"/>
                <w:kern w:val="0"/>
                <w:sz w:val="24"/>
                <w:lang w:val="en-US" w:eastAsia="zh-CN"/>
              </w:rPr>
              <w:t>26</w:t>
            </w:r>
            <w:r>
              <w:rPr>
                <w:rFonts w:hint="default" w:ascii="Times New Roman" w:hAnsi="Times New Roman" w:eastAsia="宋体" w:cs="Times New Roman"/>
                <w:kern w:val="0"/>
                <w:sz w:val="24"/>
              </w:rPr>
              <w:t>万m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，废气产生量为</w:t>
            </w:r>
            <w:r>
              <w:rPr>
                <w:rFonts w:hint="eastAsia" w:cs="Times New Roman"/>
                <w:kern w:val="0"/>
                <w:sz w:val="24"/>
                <w:lang w:val="en-US" w:eastAsia="zh-CN"/>
              </w:rPr>
              <w:t>397110</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。液化石油气燃烧废气在密闭北车间及西车间内无组织排放。</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根据GB11174-2011《液化石油气》标准，液化石油气含硫量应不大于343毫克/立方米，取含硫量343毫克/立方米，则</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二氧化硫产污系数为0.316千克/吨－原料，产生量为</w:t>
            </w:r>
            <w:r>
              <w:rPr>
                <w:rFonts w:hint="eastAsia" w:cs="Times New Roman"/>
                <w:kern w:val="0"/>
                <w:sz w:val="24"/>
                <w:lang w:eastAsia="zh-CN"/>
              </w:rPr>
              <w:t>0.0095</w:t>
            </w:r>
            <w:r>
              <w:rPr>
                <w:rFonts w:hint="default" w:ascii="Times New Roman" w:hAnsi="Times New Roman" w:eastAsia="宋体" w:cs="Times New Roman"/>
                <w:kern w:val="0"/>
                <w:sz w:val="24"/>
              </w:rPr>
              <w:t>t/a；氮氧化物产生量为</w:t>
            </w:r>
            <w:r>
              <w:rPr>
                <w:rFonts w:hint="eastAsia" w:cs="Times New Roman"/>
                <w:kern w:val="0"/>
                <w:sz w:val="24"/>
                <w:lang w:eastAsia="zh-CN"/>
              </w:rPr>
              <w:t>0.0825</w:t>
            </w:r>
            <w:r>
              <w:rPr>
                <w:rFonts w:hint="default" w:ascii="Times New Roman" w:hAnsi="Times New Roman" w:eastAsia="宋体" w:cs="Times New Roman"/>
                <w:kern w:val="0"/>
                <w:sz w:val="24"/>
              </w:rPr>
              <w:t>t/a；颗粒物参照《关于发布计算污染物排放量的排污系数和物料衡算方法的公告》（环境保护部公告2017年第81号），具体产污系数为1.039千克/万立方米－原料，则颗粒物产生量为</w:t>
            </w:r>
            <w:r>
              <w:rPr>
                <w:rFonts w:hint="eastAsia" w:cs="Times New Roman"/>
                <w:kern w:val="0"/>
                <w:sz w:val="24"/>
                <w:lang w:eastAsia="zh-CN"/>
              </w:rPr>
              <w:t>0.0013</w:t>
            </w:r>
            <w:r>
              <w:rPr>
                <w:rFonts w:hint="default" w:ascii="Times New Roman" w:hAnsi="Times New Roman" w:eastAsia="宋体" w:cs="Times New Roman"/>
                <w:kern w:val="0"/>
                <w:sz w:val="24"/>
              </w:rPr>
              <w:t>t/a。</w:t>
            </w:r>
          </w:p>
          <w:p>
            <w:pPr>
              <w:adjustRightInd w:val="0"/>
              <w:snapToGrid w:val="0"/>
              <w:spacing w:line="360" w:lineRule="auto"/>
              <w:ind w:firstLine="480" w:firstLineChars="200"/>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rPr>
              <w:t>综上，</w:t>
            </w:r>
            <w:r>
              <w:rPr>
                <w:rFonts w:hint="default" w:ascii="Times New Roman" w:hAnsi="Times New Roman" w:eastAsia="宋体" w:cs="Times New Roman"/>
                <w:kern w:val="0"/>
                <w:sz w:val="24"/>
                <w:lang w:eastAsia="zh-CN"/>
              </w:rPr>
              <w:t>技改</w:t>
            </w:r>
            <w:r>
              <w:rPr>
                <w:rFonts w:hint="eastAsia" w:cs="Times New Roman"/>
                <w:kern w:val="0"/>
                <w:sz w:val="24"/>
                <w:lang w:eastAsia="zh-CN"/>
              </w:rPr>
              <w:t>后全厂</w:t>
            </w:r>
            <w:r>
              <w:rPr>
                <w:rFonts w:hint="default" w:ascii="Times New Roman" w:hAnsi="Times New Roman" w:eastAsia="宋体" w:cs="Times New Roman"/>
                <w:kern w:val="0"/>
                <w:sz w:val="24"/>
              </w:rPr>
              <w:t>颗粒物无组织排放量为</w:t>
            </w:r>
            <w:r>
              <w:rPr>
                <w:rFonts w:hint="eastAsia" w:cs="Times New Roman"/>
                <w:kern w:val="0"/>
                <w:sz w:val="24"/>
                <w:lang w:eastAsia="zh-CN"/>
              </w:rPr>
              <w:t>0.0013</w:t>
            </w:r>
            <w:r>
              <w:rPr>
                <w:rFonts w:hint="default" w:ascii="Times New Roman" w:hAnsi="Times New Roman" w:eastAsia="宋体" w:cs="Times New Roman"/>
                <w:kern w:val="0"/>
                <w:sz w:val="24"/>
              </w:rPr>
              <w:t>t/a，排放速率为</w:t>
            </w:r>
            <w:r>
              <w:rPr>
                <w:rFonts w:hint="eastAsia" w:cs="Times New Roman"/>
                <w:kern w:val="0"/>
                <w:sz w:val="24"/>
                <w:lang w:eastAsia="zh-CN"/>
              </w:rPr>
              <w:t>0.00058</w:t>
            </w:r>
            <w:r>
              <w:rPr>
                <w:rFonts w:hint="default" w:ascii="Times New Roman" w:hAnsi="Times New Roman" w:eastAsia="宋体" w:cs="Times New Roman"/>
                <w:kern w:val="0"/>
                <w:sz w:val="24"/>
              </w:rPr>
              <w:t>kg/h；SO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无组织排放量为</w:t>
            </w:r>
            <w:r>
              <w:rPr>
                <w:rFonts w:hint="eastAsia" w:cs="Times New Roman"/>
                <w:kern w:val="0"/>
                <w:sz w:val="24"/>
                <w:lang w:eastAsia="zh-CN"/>
              </w:rPr>
              <w:t>0.0095</w:t>
            </w:r>
            <w:r>
              <w:rPr>
                <w:rFonts w:hint="default" w:ascii="Times New Roman" w:hAnsi="Times New Roman" w:eastAsia="宋体" w:cs="Times New Roman"/>
                <w:kern w:val="0"/>
                <w:sz w:val="24"/>
              </w:rPr>
              <w:t>t/a，排放速率为</w:t>
            </w:r>
            <w:r>
              <w:rPr>
                <w:rFonts w:hint="eastAsia" w:cs="Times New Roman"/>
                <w:kern w:val="0"/>
                <w:sz w:val="24"/>
                <w:lang w:eastAsia="zh-CN"/>
              </w:rPr>
              <w:t>0.0042</w:t>
            </w:r>
            <w:r>
              <w:rPr>
                <w:rFonts w:hint="default" w:ascii="Times New Roman" w:hAnsi="Times New Roman" w:eastAsia="宋体" w:cs="Times New Roman"/>
                <w:kern w:val="0"/>
                <w:sz w:val="24"/>
              </w:rPr>
              <w:t>kg/h；NO</w:t>
            </w:r>
            <w:r>
              <w:rPr>
                <w:rFonts w:hint="default" w:ascii="Times New Roman" w:hAnsi="Times New Roman" w:eastAsia="宋体" w:cs="Times New Roman"/>
                <w:kern w:val="0"/>
                <w:sz w:val="24"/>
                <w:vertAlign w:val="subscript"/>
              </w:rPr>
              <w:t>X</w:t>
            </w:r>
            <w:r>
              <w:rPr>
                <w:rFonts w:hint="default" w:ascii="Times New Roman" w:hAnsi="Times New Roman" w:eastAsia="宋体" w:cs="Times New Roman"/>
                <w:kern w:val="0"/>
                <w:sz w:val="24"/>
              </w:rPr>
              <w:t>无组织排放量为</w:t>
            </w:r>
            <w:r>
              <w:rPr>
                <w:rFonts w:hint="eastAsia" w:cs="Times New Roman"/>
                <w:kern w:val="0"/>
                <w:sz w:val="24"/>
                <w:lang w:eastAsia="zh-CN"/>
              </w:rPr>
              <w:t>0.0825</w:t>
            </w:r>
            <w:r>
              <w:rPr>
                <w:rFonts w:hint="default" w:ascii="Times New Roman" w:hAnsi="Times New Roman" w:eastAsia="宋体" w:cs="Times New Roman"/>
                <w:kern w:val="0"/>
                <w:sz w:val="24"/>
              </w:rPr>
              <w:t>t/a，排放速率为</w:t>
            </w:r>
            <w:r>
              <w:rPr>
                <w:rFonts w:hint="eastAsia" w:cs="Times New Roman"/>
                <w:kern w:val="0"/>
                <w:sz w:val="24"/>
                <w:lang w:eastAsia="zh-CN"/>
              </w:rPr>
              <w:t>0.0368</w:t>
            </w:r>
            <w:r>
              <w:rPr>
                <w:rFonts w:hint="default" w:ascii="Times New Roman" w:hAnsi="Times New Roman" w:eastAsia="宋体" w:cs="Times New Roman"/>
                <w:kern w:val="0"/>
                <w:sz w:val="24"/>
              </w:rPr>
              <w:t>kg/h</w:t>
            </w:r>
            <w:r>
              <w:rPr>
                <w:rFonts w:hint="default" w:ascii="Times New Roman" w:hAnsi="Times New Roman" w:eastAsia="宋体" w:cs="Times New Roman"/>
                <w:kern w:val="0"/>
                <w:sz w:val="24"/>
                <w:lang w:eastAsia="zh-CN"/>
              </w:rPr>
              <w:t>。</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（2）污染物达标情况分析</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无组织废气</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液化石油气燃烧产生的颗粒物、SO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、NO</w:t>
            </w:r>
            <w:r>
              <w:rPr>
                <w:rFonts w:hint="default" w:ascii="Times New Roman" w:hAnsi="Times New Roman" w:eastAsia="宋体" w:cs="Times New Roman"/>
                <w:kern w:val="0"/>
                <w:sz w:val="24"/>
                <w:vertAlign w:val="subscript"/>
              </w:rPr>
              <w:t>X</w:t>
            </w:r>
            <w:r>
              <w:rPr>
                <w:rFonts w:hint="default" w:ascii="Times New Roman" w:hAnsi="Times New Roman" w:eastAsia="宋体" w:cs="Times New Roman"/>
                <w:kern w:val="0"/>
                <w:sz w:val="24"/>
              </w:rPr>
              <w:t>密闭西车间及北车间内无组织排放。</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eastAsia="zh-CN"/>
              </w:rPr>
              <w:t>综上，技改</w:t>
            </w:r>
            <w:r>
              <w:rPr>
                <w:rFonts w:hint="eastAsia" w:cs="Times New Roman"/>
                <w:kern w:val="0"/>
                <w:sz w:val="24"/>
                <w:lang w:eastAsia="zh-CN"/>
              </w:rPr>
              <w:t>后全厂</w:t>
            </w:r>
            <w:r>
              <w:rPr>
                <w:rFonts w:hint="default" w:ascii="Times New Roman" w:hAnsi="Times New Roman" w:eastAsia="宋体" w:cs="Times New Roman"/>
                <w:kern w:val="0"/>
                <w:sz w:val="24"/>
              </w:rPr>
              <w:t>颗粒物无组织排放量为</w:t>
            </w:r>
            <w:r>
              <w:rPr>
                <w:rFonts w:hint="eastAsia" w:cs="Times New Roman"/>
                <w:kern w:val="0"/>
                <w:sz w:val="24"/>
                <w:lang w:eastAsia="zh-CN"/>
              </w:rPr>
              <w:t>0.0013</w:t>
            </w:r>
            <w:r>
              <w:rPr>
                <w:rFonts w:hint="default" w:ascii="Times New Roman" w:hAnsi="Times New Roman" w:eastAsia="宋体" w:cs="Times New Roman"/>
                <w:kern w:val="0"/>
                <w:sz w:val="24"/>
              </w:rPr>
              <w:t>t/a，排放速率为</w:t>
            </w:r>
            <w:r>
              <w:rPr>
                <w:rFonts w:hint="eastAsia" w:cs="Times New Roman"/>
                <w:kern w:val="0"/>
                <w:sz w:val="24"/>
                <w:lang w:eastAsia="zh-CN"/>
              </w:rPr>
              <w:t>0.00058</w:t>
            </w:r>
            <w:r>
              <w:rPr>
                <w:rFonts w:hint="default" w:ascii="Times New Roman" w:hAnsi="Times New Roman" w:eastAsia="宋体" w:cs="Times New Roman"/>
                <w:kern w:val="0"/>
                <w:sz w:val="24"/>
              </w:rPr>
              <w:t>kg/h；SO</w:t>
            </w:r>
            <w:r>
              <w:rPr>
                <w:rFonts w:hint="default" w:ascii="Times New Roman" w:hAnsi="Times New Roman" w:eastAsia="宋体" w:cs="Times New Roman"/>
                <w:kern w:val="0"/>
                <w:sz w:val="24"/>
                <w:vertAlign w:val="subscript"/>
              </w:rPr>
              <w:t>2</w:t>
            </w:r>
            <w:r>
              <w:rPr>
                <w:rFonts w:hint="default" w:ascii="Times New Roman" w:hAnsi="Times New Roman" w:eastAsia="宋体" w:cs="Times New Roman"/>
                <w:kern w:val="0"/>
                <w:sz w:val="24"/>
              </w:rPr>
              <w:t>无组织排放量为</w:t>
            </w:r>
            <w:r>
              <w:rPr>
                <w:rFonts w:hint="eastAsia" w:cs="Times New Roman"/>
                <w:kern w:val="0"/>
                <w:sz w:val="24"/>
                <w:lang w:eastAsia="zh-CN"/>
              </w:rPr>
              <w:t>0.0095</w:t>
            </w:r>
            <w:r>
              <w:rPr>
                <w:rFonts w:hint="default" w:ascii="Times New Roman" w:hAnsi="Times New Roman" w:eastAsia="宋体" w:cs="Times New Roman"/>
                <w:kern w:val="0"/>
                <w:sz w:val="24"/>
              </w:rPr>
              <w:t>t/a，排放速率为</w:t>
            </w:r>
            <w:r>
              <w:rPr>
                <w:rFonts w:hint="eastAsia" w:cs="Times New Roman"/>
                <w:kern w:val="0"/>
                <w:sz w:val="24"/>
                <w:lang w:eastAsia="zh-CN"/>
              </w:rPr>
              <w:t>0.0042</w:t>
            </w:r>
            <w:r>
              <w:rPr>
                <w:rFonts w:hint="default" w:ascii="Times New Roman" w:hAnsi="Times New Roman" w:eastAsia="宋体" w:cs="Times New Roman"/>
                <w:kern w:val="0"/>
                <w:sz w:val="24"/>
              </w:rPr>
              <w:t>kg/h；NO</w:t>
            </w:r>
            <w:r>
              <w:rPr>
                <w:rFonts w:hint="default" w:ascii="Times New Roman" w:hAnsi="Times New Roman" w:eastAsia="宋体" w:cs="Times New Roman"/>
                <w:kern w:val="0"/>
                <w:sz w:val="24"/>
                <w:vertAlign w:val="subscript"/>
              </w:rPr>
              <w:t>X</w:t>
            </w:r>
            <w:r>
              <w:rPr>
                <w:rFonts w:hint="default" w:ascii="Times New Roman" w:hAnsi="Times New Roman" w:eastAsia="宋体" w:cs="Times New Roman"/>
                <w:kern w:val="0"/>
                <w:sz w:val="24"/>
              </w:rPr>
              <w:t>无组织排放量为</w:t>
            </w:r>
            <w:r>
              <w:rPr>
                <w:rFonts w:hint="eastAsia" w:cs="Times New Roman"/>
                <w:kern w:val="0"/>
                <w:sz w:val="24"/>
                <w:lang w:eastAsia="zh-CN"/>
              </w:rPr>
              <w:t>0.0825</w:t>
            </w:r>
            <w:r>
              <w:rPr>
                <w:rFonts w:hint="default" w:ascii="Times New Roman" w:hAnsi="Times New Roman" w:eastAsia="宋体" w:cs="Times New Roman"/>
                <w:kern w:val="0"/>
                <w:sz w:val="24"/>
              </w:rPr>
              <w:t>t/a，排放速率为</w:t>
            </w:r>
            <w:r>
              <w:rPr>
                <w:rFonts w:hint="eastAsia" w:cs="Times New Roman"/>
                <w:kern w:val="0"/>
                <w:sz w:val="24"/>
                <w:lang w:eastAsia="zh-CN"/>
              </w:rPr>
              <w:t>0.0368</w:t>
            </w:r>
            <w:r>
              <w:rPr>
                <w:rFonts w:hint="default" w:ascii="Times New Roman" w:hAnsi="Times New Roman" w:eastAsia="宋体" w:cs="Times New Roman"/>
                <w:kern w:val="0"/>
                <w:sz w:val="24"/>
              </w:rPr>
              <w:t>kg/h。</w:t>
            </w:r>
          </w:p>
          <w:p>
            <w:pPr>
              <w:adjustRightInd w:val="0"/>
              <w:snapToGrid w:val="0"/>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根据《环境影响评价技术导则 大气环境》（HJ2.2-2018）中推荐的估算模式AERSCREEN计算可知，无组织颗粒物最大浓度为</w:t>
            </w:r>
            <w:r>
              <w:rPr>
                <w:rFonts w:hint="eastAsia" w:ascii="Times New Roman" w:hAnsi="Times New Roman" w:eastAsia="宋体" w:cs="Times New Roman"/>
                <w:color w:val="auto"/>
                <w:kern w:val="0"/>
                <w:sz w:val="24"/>
                <w:lang w:eastAsia="zh-CN"/>
              </w:rPr>
              <w:t>0.</w:t>
            </w:r>
            <w:r>
              <w:rPr>
                <w:rFonts w:hint="eastAsia" w:cs="Times New Roman"/>
                <w:color w:val="auto"/>
                <w:kern w:val="0"/>
                <w:sz w:val="24"/>
                <w:lang w:val="en-US" w:eastAsia="zh-CN"/>
              </w:rPr>
              <w:t>4450</w:t>
            </w:r>
            <w:r>
              <w:rPr>
                <w:rFonts w:hint="default" w:ascii="Times New Roman" w:hAnsi="Times New Roman" w:eastAsia="宋体" w:cs="Times New Roman"/>
                <w:color w:val="auto"/>
                <w:kern w:val="0"/>
                <w:sz w:val="24"/>
              </w:rPr>
              <w:t>μg/m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，无组织SO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最大浓度为</w:t>
            </w:r>
            <w:r>
              <w:rPr>
                <w:rFonts w:hint="eastAsia" w:cs="Times New Roman"/>
                <w:color w:val="auto"/>
                <w:kern w:val="0"/>
                <w:sz w:val="24"/>
                <w:lang w:val="en-US" w:eastAsia="zh-CN"/>
              </w:rPr>
              <w:t>3.2222</w:t>
            </w:r>
            <w:r>
              <w:rPr>
                <w:rFonts w:hint="default" w:ascii="Times New Roman" w:hAnsi="Times New Roman" w:eastAsia="宋体" w:cs="Times New Roman"/>
                <w:color w:val="auto"/>
                <w:kern w:val="0"/>
                <w:sz w:val="24"/>
              </w:rPr>
              <w:t>μg/m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，无组织NO</w:t>
            </w:r>
            <w:r>
              <w:rPr>
                <w:rFonts w:hint="default" w:ascii="Times New Roman" w:hAnsi="Times New Roman" w:eastAsia="宋体" w:cs="Times New Roman"/>
                <w:color w:val="auto"/>
                <w:kern w:val="0"/>
                <w:sz w:val="24"/>
                <w:vertAlign w:val="subscript"/>
              </w:rPr>
              <w:t>X</w:t>
            </w:r>
            <w:r>
              <w:rPr>
                <w:rFonts w:hint="default" w:ascii="Times New Roman" w:hAnsi="Times New Roman" w:eastAsia="宋体" w:cs="Times New Roman"/>
                <w:color w:val="auto"/>
                <w:kern w:val="0"/>
                <w:sz w:val="24"/>
              </w:rPr>
              <w:t>最大浓度为</w:t>
            </w:r>
            <w:r>
              <w:rPr>
                <w:rFonts w:hint="eastAsia" w:cs="Times New Roman"/>
                <w:color w:val="auto"/>
                <w:kern w:val="0"/>
                <w:sz w:val="24"/>
                <w:lang w:val="en-US" w:eastAsia="zh-CN"/>
              </w:rPr>
              <w:t>28.2326</w:t>
            </w:r>
            <w:r>
              <w:rPr>
                <w:rFonts w:hint="default" w:ascii="Times New Roman" w:hAnsi="Times New Roman" w:eastAsia="宋体" w:cs="Times New Roman"/>
                <w:color w:val="auto"/>
                <w:kern w:val="0"/>
                <w:sz w:val="24"/>
              </w:rPr>
              <w:t>μg/m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。厂界无组织颗粒物、SO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、NO</w:t>
            </w:r>
            <w:r>
              <w:rPr>
                <w:rFonts w:hint="default" w:ascii="Times New Roman" w:hAnsi="Times New Roman" w:eastAsia="宋体" w:cs="Times New Roman"/>
                <w:color w:val="auto"/>
                <w:kern w:val="0"/>
                <w:sz w:val="24"/>
                <w:vertAlign w:val="subscript"/>
              </w:rPr>
              <w:t>X</w:t>
            </w:r>
            <w:r>
              <w:rPr>
                <w:rFonts w:hint="default" w:ascii="Times New Roman" w:hAnsi="Times New Roman" w:eastAsia="宋体" w:cs="Times New Roman"/>
                <w:color w:val="auto"/>
                <w:kern w:val="0"/>
                <w:sz w:val="24"/>
              </w:rPr>
              <w:t>排放浓度均可满足《大气污染物综合排放标准》（GB16297-1996）表2中无组织排放浓度监控限值要求（颗粒物：1.0mg/m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；NO</w:t>
            </w:r>
            <w:r>
              <w:rPr>
                <w:rFonts w:hint="default" w:ascii="Times New Roman" w:hAnsi="Times New Roman" w:eastAsia="宋体" w:cs="Times New Roman"/>
                <w:color w:val="auto"/>
                <w:kern w:val="0"/>
                <w:sz w:val="24"/>
                <w:vertAlign w:val="subscript"/>
              </w:rPr>
              <w:t>X</w:t>
            </w:r>
            <w:r>
              <w:rPr>
                <w:rFonts w:hint="default" w:ascii="Times New Roman" w:hAnsi="Times New Roman" w:eastAsia="宋体" w:cs="Times New Roman"/>
                <w:color w:val="auto"/>
                <w:kern w:val="0"/>
                <w:sz w:val="24"/>
              </w:rPr>
              <w:t>：0.12mg/m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：0.40mg/m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aps w:val="0"/>
                <w:color w:val="auto"/>
                <w:spacing w:val="0"/>
                <w:w w:val="100"/>
                <w:kern w:val="0"/>
                <w:position w:val="0"/>
                <w:sz w:val="24"/>
                <w:szCs w:val="24"/>
                <w:highlight w:val="none"/>
                <w:shd w:val="clear" w:color="auto" w:fill="auto"/>
                <w:lang w:val="en-US" w:eastAsia="zh-CN"/>
              </w:rPr>
            </w:pPr>
            <w:r>
              <w:rPr>
                <w:rFonts w:hint="eastAsia" w:ascii="Times New Roman" w:hAnsi="Times New Roman" w:eastAsia="宋体" w:cs="Times New Roman"/>
                <w:color w:val="auto"/>
                <w:spacing w:val="0"/>
                <w:kern w:val="0"/>
                <w:position w:val="0"/>
                <w:sz w:val="24"/>
                <w:szCs w:val="24"/>
                <w:highlight w:val="none"/>
                <w:shd w:val="clear" w:color="auto" w:fill="auto"/>
                <w:lang w:eastAsia="zh-CN"/>
              </w:rPr>
              <w:t>技改项目</w:t>
            </w:r>
            <w:r>
              <w:rPr>
                <w:rFonts w:hint="default" w:ascii="Times New Roman" w:hAnsi="Times New Roman" w:eastAsia="宋体" w:cs="Times New Roman"/>
                <w:color w:val="auto"/>
                <w:spacing w:val="0"/>
                <w:kern w:val="0"/>
                <w:position w:val="0"/>
                <w:sz w:val="24"/>
                <w:szCs w:val="24"/>
                <w:highlight w:val="none"/>
                <w:shd w:val="clear" w:color="auto" w:fill="auto"/>
                <w:lang w:eastAsia="zh-CN"/>
              </w:rPr>
              <w:t>建成后全厂</w:t>
            </w:r>
            <w:r>
              <w:rPr>
                <w:rFonts w:hint="default" w:ascii="Times New Roman" w:hAnsi="Times New Roman" w:eastAsia="宋体" w:cs="Times New Roman"/>
                <w:b w:val="0"/>
                <w:bCs/>
                <w:caps w:val="0"/>
                <w:color w:val="auto"/>
                <w:spacing w:val="0"/>
                <w:w w:val="100"/>
                <w:kern w:val="0"/>
                <w:position w:val="0"/>
                <w:sz w:val="24"/>
                <w:szCs w:val="24"/>
                <w:highlight w:val="none"/>
                <w:shd w:val="clear" w:color="auto" w:fill="auto"/>
                <w:lang w:val="en-US" w:eastAsia="zh-CN"/>
              </w:rPr>
              <w:t>大气污染物年排放量核算见下表。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jc w:val="center"/>
              <w:textAlignment w:val="auto"/>
              <w:rPr>
                <w:rFonts w:hint="default" w:ascii="Times New Roman" w:hAnsi="Times New Roman" w:eastAsia="宋体" w:cs="Times New Roman"/>
                <w:b w:val="0"/>
                <w:bCs/>
                <w:caps w:val="0"/>
                <w:color w:val="FF0000"/>
                <w:spacing w:val="0"/>
                <w:w w:val="100"/>
                <w:kern w:val="0"/>
                <w:position w:val="0"/>
                <w:sz w:val="24"/>
                <w:szCs w:val="24"/>
                <w:highlight w:val="none"/>
                <w:shd w:val="clear" w:color="FFFFFF" w:fill="D9D9D9"/>
                <w:lang w:val="en-US" w:eastAsia="zh-CN"/>
              </w:rPr>
            </w:pPr>
            <w:r>
              <w:rPr>
                <w:rFonts w:hint="default" w:ascii="Times New Roman" w:hAnsi="Times New Roman" w:eastAsia="宋体" w:cs="Times New Roman"/>
                <w:b/>
                <w:caps w:val="0"/>
                <w:color w:val="auto"/>
                <w:spacing w:val="0"/>
                <w:w w:val="100"/>
                <w:kern w:val="0"/>
                <w:position w:val="0"/>
                <w:sz w:val="24"/>
                <w:szCs w:val="24"/>
                <w:highlight w:val="none"/>
                <w:shd w:val="clear" w:color="auto" w:fill="auto"/>
                <w:lang w:val="en-US" w:eastAsia="zh-CN"/>
              </w:rPr>
              <w:t>表4-3</w:t>
            </w:r>
            <w:r>
              <w:rPr>
                <w:rFonts w:hint="eastAsia" w:ascii="Times New Roman" w:hAnsi="Times New Roman" w:eastAsia="宋体" w:cs="Times New Roman"/>
                <w:b/>
                <w:caps w:val="0"/>
                <w:color w:val="auto"/>
                <w:spacing w:val="0"/>
                <w:w w:val="100"/>
                <w:kern w:val="0"/>
                <w:position w:val="0"/>
                <w:sz w:val="24"/>
                <w:szCs w:val="24"/>
                <w:highlight w:val="none"/>
                <w:shd w:val="clear" w:color="auto" w:fill="auto"/>
                <w:lang w:val="en-US" w:eastAsia="zh-CN"/>
              </w:rPr>
              <w:t>技改项目</w:t>
            </w:r>
            <w:r>
              <w:rPr>
                <w:rFonts w:hint="default" w:ascii="Times New Roman" w:hAnsi="Times New Roman" w:eastAsia="宋体" w:cs="Times New Roman"/>
                <w:b/>
                <w:caps w:val="0"/>
                <w:color w:val="auto"/>
                <w:spacing w:val="0"/>
                <w:w w:val="100"/>
                <w:kern w:val="0"/>
                <w:position w:val="0"/>
                <w:sz w:val="24"/>
                <w:szCs w:val="24"/>
                <w:highlight w:val="none"/>
                <w:shd w:val="clear" w:color="auto" w:fill="auto"/>
                <w:lang w:val="en-US" w:eastAsia="zh-CN"/>
              </w:rPr>
              <w:t>建成后全厂大气污染物年排放量核算表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636"/>
              <w:gridCol w:w="857"/>
              <w:gridCol w:w="742"/>
              <w:gridCol w:w="930"/>
              <w:gridCol w:w="2408"/>
              <w:gridCol w:w="1209"/>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67"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排放口名称及编号</w:t>
                  </w:r>
                </w:p>
              </w:tc>
              <w:tc>
                <w:tcPr>
                  <w:tcW w:w="85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产污环节</w:t>
                  </w:r>
                </w:p>
              </w:tc>
              <w:tc>
                <w:tcPr>
                  <w:tcW w:w="74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污染物</w:t>
                  </w:r>
                </w:p>
              </w:tc>
              <w:tc>
                <w:tcPr>
                  <w:tcW w:w="93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主要污染防治措施</w:t>
                  </w:r>
                </w:p>
              </w:tc>
              <w:tc>
                <w:tcPr>
                  <w:tcW w:w="3617"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国家或地方污染物排放标准</w:t>
                  </w:r>
                </w:p>
              </w:tc>
              <w:tc>
                <w:tcPr>
                  <w:tcW w:w="93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67"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c>
                <w:tcPr>
                  <w:tcW w:w="85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c>
                <w:tcPr>
                  <w:tcW w:w="74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c>
                <w:tcPr>
                  <w:tcW w:w="93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c>
                <w:tcPr>
                  <w:tcW w:w="24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标准名称</w:t>
                  </w:r>
                </w:p>
              </w:tc>
              <w:tc>
                <w:tcPr>
                  <w:tcW w:w="12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pacing w:val="0"/>
                      <w:kern w:val="0"/>
                      <w:position w:val="0"/>
                      <w:sz w:val="21"/>
                      <w:szCs w:val="21"/>
                      <w:highlight w:val="none"/>
                      <w:shd w:val="clear" w:color="auto" w:fill="auto"/>
                      <w:vertAlign w:val="superscript"/>
                    </w:rPr>
                  </w:pPr>
                  <w:r>
                    <w:rPr>
                      <w:rFonts w:hint="default" w:ascii="Times New Roman" w:hAnsi="Times New Roman" w:eastAsia="宋体" w:cs="Times New Roman"/>
                      <w:b/>
                      <w:bCs/>
                      <w:caps w:val="0"/>
                      <w:color w:val="auto"/>
                      <w:spacing w:val="0"/>
                      <w:kern w:val="0"/>
                      <w:position w:val="0"/>
                      <w:sz w:val="21"/>
                      <w:szCs w:val="21"/>
                      <w:highlight w:val="none"/>
                      <w:shd w:val="clear" w:color="auto" w:fill="auto"/>
                    </w:rPr>
                    <w:t>限值</w:t>
                  </w:r>
                </w:p>
              </w:tc>
              <w:tc>
                <w:tcPr>
                  <w:tcW w:w="93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431" w:type="dxa"/>
                  <w:vMerge w:val="restart"/>
                  <w:tcBorders>
                    <w:tl2br w:val="nil"/>
                    <w:tr2bl w:val="nil"/>
                  </w:tcBorders>
                  <w:noWrap w:val="0"/>
                  <w:vAlign w:val="center"/>
                </w:tcPr>
                <w:p>
                  <w:pPr>
                    <w:pStyle w:val="33"/>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t>无组织排放</w:t>
                  </w:r>
                </w:p>
              </w:tc>
              <w:tc>
                <w:tcPr>
                  <w:tcW w:w="63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pacing w:val="0"/>
                      <w:kern w:val="0"/>
                      <w:position w:val="0"/>
                      <w:sz w:val="21"/>
                      <w:szCs w:val="21"/>
                      <w:shd w:val="clear" w:color="auto" w:fill="auto"/>
                      <w:lang w:val="en-US" w:eastAsia="zh-CN" w:bidi="ar-SA"/>
                    </w:rPr>
                  </w:pPr>
                  <w:r>
                    <w:rPr>
                      <w:rFonts w:hint="default" w:ascii="Times New Roman" w:hAnsi="Times New Roman" w:eastAsia="宋体" w:cs="Times New Roman"/>
                      <w:b w:val="0"/>
                      <w:bCs w:val="0"/>
                      <w:color w:val="auto"/>
                      <w:spacing w:val="0"/>
                      <w:kern w:val="0"/>
                      <w:position w:val="0"/>
                      <w:sz w:val="21"/>
                      <w:szCs w:val="21"/>
                      <w:shd w:val="clear" w:color="auto" w:fill="auto"/>
                      <w:lang w:val="en-US" w:eastAsia="zh-CN" w:bidi="ar-SA"/>
                    </w:rPr>
                    <w:t>西车间、北车间</w:t>
                  </w:r>
                </w:p>
              </w:tc>
              <w:tc>
                <w:tcPr>
                  <w:tcW w:w="857" w:type="dxa"/>
                  <w:vMerge w:val="restart"/>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t>下料、瓶底处理、压颈、封口工序</w:t>
                  </w:r>
                </w:p>
              </w:tc>
              <w:tc>
                <w:tcPr>
                  <w:tcW w:w="742" w:type="dxa"/>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颗粒物</w:t>
                  </w:r>
                </w:p>
              </w:tc>
              <w:tc>
                <w:tcPr>
                  <w:tcW w:w="9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shd w:val="clear" w:color="auto" w:fill="auto"/>
                      <w:lang w:val="en-US" w:eastAsia="zh-CN" w:bidi="ar-SA"/>
                    </w:rPr>
                  </w:pPr>
                  <w:r>
                    <w:rPr>
                      <w:rFonts w:hint="default" w:ascii="Times New Roman" w:hAnsi="Times New Roman" w:eastAsia="宋体" w:cs="Times New Roman"/>
                      <w:color w:val="auto"/>
                      <w:spacing w:val="0"/>
                      <w:kern w:val="0"/>
                      <w:position w:val="0"/>
                      <w:sz w:val="21"/>
                      <w:szCs w:val="21"/>
                      <w:shd w:val="clear" w:color="auto" w:fill="auto"/>
                    </w:rPr>
                    <w:t>车间密闭阻挡；加强生产操作管理</w:t>
                  </w:r>
                </w:p>
              </w:tc>
              <w:tc>
                <w:tcPr>
                  <w:tcW w:w="2408" w:type="dxa"/>
                  <w:vMerge w:val="restart"/>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无组织排放浓度执行《大气污染物综合排放标准》（GB16297-1996）表2新污染源大气污染物排放限值中无组织排放监控浓度限值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caps w:val="0"/>
                      <w:color w:val="auto"/>
                      <w:spacing w:val="0"/>
                      <w:kern w:val="0"/>
                      <w:position w:val="0"/>
                      <w:sz w:val="21"/>
                      <w:szCs w:val="21"/>
                      <w:shd w:val="clear" w:color="auto" w:fill="auto"/>
                    </w:rPr>
                  </w:pPr>
                  <w:r>
                    <w:rPr>
                      <w:rFonts w:hint="default" w:ascii="Times New Roman" w:hAnsi="Times New Roman" w:eastAsia="宋体" w:cs="Times New Roman"/>
                      <w:caps w:val="0"/>
                      <w:color w:val="auto"/>
                      <w:spacing w:val="0"/>
                      <w:kern w:val="0"/>
                      <w:position w:val="0"/>
                      <w:sz w:val="21"/>
                      <w:szCs w:val="21"/>
                      <w:shd w:val="clear" w:color="auto" w:fill="auto"/>
                      <w:lang w:val="en-US" w:eastAsia="zh-CN"/>
                    </w:rPr>
                    <w:t>1.0</w:t>
                  </w:r>
                  <w:r>
                    <w:rPr>
                      <w:rFonts w:hint="default" w:ascii="Times New Roman" w:hAnsi="Times New Roman" w:eastAsia="宋体" w:cs="Times New Roman"/>
                      <w:caps w:val="0"/>
                      <w:color w:val="auto"/>
                      <w:spacing w:val="0"/>
                      <w:kern w:val="0"/>
                      <w:position w:val="0"/>
                      <w:sz w:val="21"/>
                      <w:szCs w:val="21"/>
                      <w:shd w:val="clear" w:color="auto" w:fill="auto"/>
                    </w:rPr>
                    <w:t>mg/</w:t>
                  </w:r>
                  <w:r>
                    <w:rPr>
                      <w:rFonts w:hint="default" w:ascii="Times New Roman" w:hAnsi="Times New Roman" w:eastAsia="宋体" w:cs="Times New Roman"/>
                      <w:caps w:val="0"/>
                      <w:color w:val="auto"/>
                      <w:spacing w:val="0"/>
                      <w:kern w:val="0"/>
                      <w:position w:val="0"/>
                      <w:sz w:val="21"/>
                      <w:szCs w:val="21"/>
                      <w:highlight w:val="none"/>
                      <w:shd w:val="clear" w:color="auto" w:fill="auto"/>
                    </w:rPr>
                    <w:t>m</w:t>
                  </w:r>
                  <w:r>
                    <w:rPr>
                      <w:rFonts w:hint="default" w:ascii="Times New Roman" w:hAnsi="Times New Roman" w:eastAsia="宋体" w:cs="Times New Roman"/>
                      <w:caps w:val="0"/>
                      <w:color w:val="auto"/>
                      <w:spacing w:val="0"/>
                      <w:kern w:val="0"/>
                      <w:position w:val="0"/>
                      <w:sz w:val="21"/>
                      <w:szCs w:val="21"/>
                      <w:highlight w:val="none"/>
                      <w:shd w:val="clear" w:color="auto" w:fill="auto"/>
                      <w:vertAlign w:val="superscript"/>
                    </w:rPr>
                    <w:t>3</w:t>
                  </w:r>
                </w:p>
              </w:tc>
              <w:tc>
                <w:tcPr>
                  <w:tcW w:w="93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r>
                    <w:rPr>
                      <w:rFonts w:hint="eastAsia" w:cs="Times New Roman"/>
                      <w:kern w:val="0"/>
                      <w:sz w:val="21"/>
                      <w:szCs w:val="21"/>
                      <w:vertAlign w:val="baseline"/>
                      <w:lang w:val="en-US" w:eastAsia="zh-CN"/>
                    </w:rPr>
                    <w:t>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431" w:type="dxa"/>
                  <w:vMerge w:val="continue"/>
                  <w:tcBorders>
                    <w:tl2br w:val="nil"/>
                    <w:tr2bl w:val="nil"/>
                  </w:tcBorders>
                  <w:noWrap w:val="0"/>
                  <w:vAlign w:val="center"/>
                </w:tcPr>
                <w:p>
                  <w:pPr>
                    <w:pStyle w:val="33"/>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p>
              </w:tc>
              <w:tc>
                <w:tcPr>
                  <w:tcW w:w="63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p>
              </w:tc>
              <w:tc>
                <w:tcPr>
                  <w:tcW w:w="857" w:type="dxa"/>
                  <w:vMerge w:val="continue"/>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p>
              </w:tc>
              <w:tc>
                <w:tcPr>
                  <w:tcW w:w="742" w:type="dxa"/>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t>二氧化硫</w:t>
                  </w:r>
                </w:p>
              </w:tc>
              <w:tc>
                <w:tcPr>
                  <w:tcW w:w="9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shd w:val="clear" w:color="auto" w:fill="auto"/>
                      <w:lang w:val="en-US" w:eastAsia="zh-CN" w:bidi="ar-SA"/>
                    </w:rPr>
                  </w:pPr>
                  <w:r>
                    <w:rPr>
                      <w:rFonts w:hint="default" w:ascii="Times New Roman" w:hAnsi="Times New Roman" w:eastAsia="宋体" w:cs="Times New Roman"/>
                      <w:color w:val="auto"/>
                      <w:spacing w:val="0"/>
                      <w:kern w:val="0"/>
                      <w:position w:val="0"/>
                      <w:sz w:val="21"/>
                      <w:szCs w:val="21"/>
                      <w:shd w:val="clear" w:color="auto" w:fill="auto"/>
                    </w:rPr>
                    <w:t>车间密闭阻挡；加强生产操作管理</w:t>
                  </w:r>
                </w:p>
              </w:tc>
              <w:tc>
                <w:tcPr>
                  <w:tcW w:w="2408" w:type="dxa"/>
                  <w:vMerge w:val="continue"/>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p>
              </w:tc>
              <w:tc>
                <w:tcPr>
                  <w:tcW w:w="1209" w:type="dxa"/>
                  <w:tcBorders>
                    <w:tl2br w:val="nil"/>
                    <w:tr2bl w:val="nil"/>
                  </w:tcBorders>
                  <w:noWrap w:val="0"/>
                  <w:vAlign w:val="center"/>
                </w:tcPr>
                <w:p>
                  <w:pPr>
                    <w:autoSpaceDE w:val="0"/>
                    <w:autoSpaceDN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0.4</w:t>
                  </w:r>
                  <w:r>
                    <w:rPr>
                      <w:rFonts w:hint="default" w:ascii="Times New Roman" w:hAnsi="Times New Roman" w:eastAsia="宋体" w:cs="Times New Roman"/>
                      <w:caps w:val="0"/>
                      <w:color w:val="auto"/>
                      <w:spacing w:val="0"/>
                      <w:kern w:val="0"/>
                      <w:position w:val="0"/>
                      <w:sz w:val="21"/>
                      <w:szCs w:val="21"/>
                      <w:shd w:val="clear" w:color="auto" w:fill="auto"/>
                    </w:rPr>
                    <w:t>mg/</w:t>
                  </w:r>
                  <w:r>
                    <w:rPr>
                      <w:rFonts w:hint="default" w:ascii="Times New Roman" w:hAnsi="Times New Roman" w:eastAsia="宋体" w:cs="Times New Roman"/>
                      <w:caps w:val="0"/>
                      <w:color w:val="auto"/>
                      <w:spacing w:val="0"/>
                      <w:kern w:val="0"/>
                      <w:position w:val="0"/>
                      <w:sz w:val="21"/>
                      <w:szCs w:val="21"/>
                      <w:highlight w:val="none"/>
                      <w:shd w:val="clear" w:color="auto" w:fill="auto"/>
                    </w:rPr>
                    <w:t>m</w:t>
                  </w:r>
                  <w:r>
                    <w:rPr>
                      <w:rFonts w:hint="default" w:ascii="Times New Roman" w:hAnsi="Times New Roman" w:eastAsia="宋体" w:cs="Times New Roman"/>
                      <w:caps w:val="0"/>
                      <w:color w:val="auto"/>
                      <w:spacing w:val="0"/>
                      <w:kern w:val="0"/>
                      <w:position w:val="0"/>
                      <w:sz w:val="21"/>
                      <w:szCs w:val="21"/>
                      <w:highlight w:val="none"/>
                      <w:shd w:val="clear" w:color="auto" w:fill="auto"/>
                      <w:vertAlign w:val="superscript"/>
                    </w:rPr>
                    <w:t>3</w:t>
                  </w:r>
                </w:p>
              </w:tc>
              <w:tc>
                <w:tcPr>
                  <w:tcW w:w="93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0.0095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431" w:type="dxa"/>
                  <w:vMerge w:val="continue"/>
                  <w:tcBorders>
                    <w:tl2br w:val="nil"/>
                    <w:tr2bl w:val="nil"/>
                  </w:tcBorders>
                  <w:noWrap w:val="0"/>
                  <w:vAlign w:val="center"/>
                </w:tcPr>
                <w:p>
                  <w:pPr>
                    <w:pStyle w:val="33"/>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rPr>
                  </w:pPr>
                </w:p>
              </w:tc>
              <w:tc>
                <w:tcPr>
                  <w:tcW w:w="63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pacing w:val="0"/>
                      <w:kern w:val="0"/>
                      <w:position w:val="0"/>
                      <w:sz w:val="21"/>
                      <w:szCs w:val="21"/>
                      <w:shd w:val="clear" w:color="auto" w:fill="auto"/>
                      <w:lang w:val="en-US" w:eastAsia="zh-CN"/>
                    </w:rPr>
                  </w:pPr>
                </w:p>
              </w:tc>
              <w:tc>
                <w:tcPr>
                  <w:tcW w:w="857" w:type="dxa"/>
                  <w:vMerge w:val="continue"/>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bidi="ar-SA"/>
                    </w:rPr>
                  </w:pPr>
                </w:p>
              </w:tc>
              <w:tc>
                <w:tcPr>
                  <w:tcW w:w="742" w:type="dxa"/>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t>氮氧化物</w:t>
                  </w:r>
                </w:p>
              </w:tc>
              <w:tc>
                <w:tcPr>
                  <w:tcW w:w="9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shd w:val="clear" w:color="auto" w:fill="auto"/>
                      <w:lang w:eastAsia="zh-CN"/>
                    </w:rPr>
                  </w:pPr>
                  <w:r>
                    <w:rPr>
                      <w:rFonts w:hint="default" w:ascii="Times New Roman" w:hAnsi="Times New Roman" w:eastAsia="宋体" w:cs="Times New Roman"/>
                      <w:color w:val="auto"/>
                      <w:spacing w:val="0"/>
                      <w:kern w:val="0"/>
                      <w:position w:val="0"/>
                      <w:sz w:val="21"/>
                      <w:szCs w:val="21"/>
                      <w:shd w:val="clear" w:color="auto" w:fill="auto"/>
                    </w:rPr>
                    <w:t>车间密闭阻挡；加强生产操作管理</w:t>
                  </w:r>
                </w:p>
              </w:tc>
              <w:tc>
                <w:tcPr>
                  <w:tcW w:w="2408" w:type="dxa"/>
                  <w:vMerge w:val="continue"/>
                  <w:tcBorders>
                    <w:tl2br w:val="nil"/>
                    <w:tr2bl w:val="nil"/>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0"/>
                      <w:position w:val="0"/>
                      <w:sz w:val="21"/>
                      <w:szCs w:val="21"/>
                      <w:highlight w:val="none"/>
                      <w:shd w:val="clear" w:color="auto" w:fill="auto"/>
                      <w:lang w:val="en-US" w:eastAsia="zh-CN"/>
                    </w:rPr>
                  </w:pPr>
                </w:p>
              </w:tc>
              <w:tc>
                <w:tcPr>
                  <w:tcW w:w="1209" w:type="dxa"/>
                  <w:tcBorders>
                    <w:tl2br w:val="nil"/>
                    <w:tr2bl w:val="nil"/>
                  </w:tcBorders>
                  <w:noWrap w:val="0"/>
                  <w:vAlign w:val="center"/>
                </w:tcPr>
                <w:p>
                  <w:pPr>
                    <w:autoSpaceDE w:val="0"/>
                    <w:autoSpaceDN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0.12</w:t>
                  </w:r>
                  <w:r>
                    <w:rPr>
                      <w:rFonts w:hint="default" w:ascii="Times New Roman" w:hAnsi="Times New Roman" w:eastAsia="宋体" w:cs="Times New Roman"/>
                      <w:caps w:val="0"/>
                      <w:color w:val="auto"/>
                      <w:spacing w:val="0"/>
                      <w:kern w:val="0"/>
                      <w:position w:val="0"/>
                      <w:sz w:val="21"/>
                      <w:szCs w:val="21"/>
                      <w:shd w:val="clear" w:color="auto" w:fill="auto"/>
                    </w:rPr>
                    <w:t>mg/</w:t>
                  </w:r>
                  <w:r>
                    <w:rPr>
                      <w:rFonts w:hint="default" w:ascii="Times New Roman" w:hAnsi="Times New Roman" w:eastAsia="宋体" w:cs="Times New Roman"/>
                      <w:caps w:val="0"/>
                      <w:color w:val="auto"/>
                      <w:spacing w:val="0"/>
                      <w:kern w:val="0"/>
                      <w:position w:val="0"/>
                      <w:sz w:val="21"/>
                      <w:szCs w:val="21"/>
                      <w:highlight w:val="none"/>
                      <w:shd w:val="clear" w:color="auto" w:fill="auto"/>
                    </w:rPr>
                    <w:t>m</w:t>
                  </w:r>
                  <w:r>
                    <w:rPr>
                      <w:rFonts w:hint="default" w:ascii="Times New Roman" w:hAnsi="Times New Roman" w:eastAsia="宋体" w:cs="Times New Roman"/>
                      <w:caps w:val="0"/>
                      <w:color w:val="auto"/>
                      <w:spacing w:val="0"/>
                      <w:kern w:val="0"/>
                      <w:position w:val="0"/>
                      <w:sz w:val="21"/>
                      <w:szCs w:val="21"/>
                      <w:highlight w:val="none"/>
                      <w:shd w:val="clear" w:color="auto" w:fill="auto"/>
                      <w:vertAlign w:val="superscript"/>
                    </w:rPr>
                    <w:t>3</w:t>
                  </w:r>
                </w:p>
              </w:tc>
              <w:tc>
                <w:tcPr>
                  <w:tcW w:w="93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0.0825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924" w:type="dxa"/>
                  <w:gridSpan w:val="3"/>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aps w:val="0"/>
                      <w:color w:val="auto"/>
                      <w:spacing w:val="0"/>
                      <w:kern w:val="0"/>
                      <w:position w:val="0"/>
                      <w:sz w:val="21"/>
                      <w:szCs w:val="21"/>
                      <w:highlight w:val="none"/>
                      <w:shd w:val="clear" w:color="auto" w:fill="auto"/>
                    </w:rPr>
                  </w:pPr>
                  <w:r>
                    <w:rPr>
                      <w:rFonts w:hint="default" w:ascii="Times New Roman" w:hAnsi="Times New Roman" w:eastAsia="宋体" w:cs="Times New Roman"/>
                      <w:caps w:val="0"/>
                      <w:color w:val="auto"/>
                      <w:spacing w:val="0"/>
                      <w:kern w:val="0"/>
                      <w:position w:val="0"/>
                      <w:sz w:val="21"/>
                      <w:szCs w:val="21"/>
                      <w:highlight w:val="none"/>
                      <w:shd w:val="clear" w:color="auto" w:fill="auto"/>
                    </w:rPr>
                    <w:t>排放总计</w:t>
                  </w:r>
                </w:p>
              </w:tc>
              <w:tc>
                <w:tcPr>
                  <w:tcW w:w="5289"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bidi="ar-SA"/>
                    </w:rPr>
                  </w:pPr>
                  <w:r>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t>颗粒物</w:t>
                  </w:r>
                </w:p>
              </w:tc>
              <w:tc>
                <w:tcPr>
                  <w:tcW w:w="93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aps w:val="0"/>
                      <w:color w:val="auto"/>
                      <w:spacing w:val="0"/>
                      <w:kern w:val="0"/>
                      <w:position w:val="0"/>
                      <w:sz w:val="21"/>
                      <w:szCs w:val="21"/>
                      <w:highlight w:val="none"/>
                      <w:shd w:val="clear" w:color="auto" w:fill="auto"/>
                      <w:lang w:val="en-US" w:eastAsia="zh-CN" w:bidi="ar-SA"/>
                    </w:rPr>
                  </w:pPr>
                  <w:r>
                    <w:rPr>
                      <w:rFonts w:hint="eastAsia" w:cs="Times New Roman"/>
                      <w:kern w:val="0"/>
                      <w:sz w:val="21"/>
                      <w:szCs w:val="21"/>
                      <w:vertAlign w:val="baseline"/>
                      <w:lang w:val="en-US" w:eastAsia="zh-CN"/>
                    </w:rPr>
                    <w:t>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924" w:type="dxa"/>
                  <w:gridSpan w:val="3"/>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0"/>
                    </w:rPr>
                  </w:pPr>
                </w:p>
              </w:tc>
              <w:tc>
                <w:tcPr>
                  <w:tcW w:w="5289"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t>二氧化硫</w:t>
                  </w:r>
                </w:p>
              </w:tc>
              <w:tc>
                <w:tcPr>
                  <w:tcW w:w="93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pPr>
                  <w:r>
                    <w:rPr>
                      <w:rFonts w:hint="eastAsia" w:cs="Times New Roman"/>
                      <w:kern w:val="0"/>
                      <w:sz w:val="21"/>
                      <w:szCs w:val="21"/>
                      <w:vertAlign w:val="baseline"/>
                      <w:lang w:val="en-US" w:eastAsia="zh-CN"/>
                    </w:rPr>
                    <w:t>0.0095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924" w:type="dxa"/>
                  <w:gridSpan w:val="3"/>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pPr>
                </w:p>
              </w:tc>
              <w:tc>
                <w:tcPr>
                  <w:tcW w:w="5289"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pPr>
                  <w:r>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t>氮氧化物</w:t>
                  </w:r>
                </w:p>
              </w:tc>
              <w:tc>
                <w:tcPr>
                  <w:tcW w:w="93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aps w:val="0"/>
                      <w:color w:val="auto"/>
                      <w:spacing w:val="0"/>
                      <w:kern w:val="0"/>
                      <w:position w:val="0"/>
                      <w:sz w:val="21"/>
                      <w:szCs w:val="21"/>
                      <w:shd w:val="clear" w:color="auto" w:fill="auto"/>
                      <w:lang w:val="en-US" w:eastAsia="zh-CN"/>
                    </w:rPr>
                  </w:pPr>
                  <w:r>
                    <w:rPr>
                      <w:rFonts w:hint="eastAsia" w:cs="Times New Roman"/>
                      <w:kern w:val="0"/>
                      <w:sz w:val="21"/>
                      <w:szCs w:val="21"/>
                      <w:vertAlign w:val="baseline"/>
                      <w:lang w:val="en-US" w:eastAsia="zh-CN"/>
                    </w:rPr>
                    <w:t>0.0825</w:t>
                  </w:r>
                </w:p>
              </w:tc>
            </w:tr>
          </w:tbl>
          <w:p>
            <w:pPr>
              <w:adjustRightInd w:val="0"/>
              <w:snapToGrid w:val="0"/>
              <w:spacing w:line="360" w:lineRule="auto"/>
              <w:ind w:firstLine="480" w:firstLineChars="200"/>
              <w:rPr>
                <w:rFonts w:hint="default" w:ascii="Times New Roman" w:hAnsi="Times New Roman" w:eastAsia="宋体" w:cs="Times New Roman"/>
                <w:b/>
                <w:kern w:val="0"/>
                <w:sz w:val="24"/>
              </w:rPr>
            </w:pPr>
            <w:r>
              <w:rPr>
                <w:rFonts w:hint="default" w:ascii="Times New Roman" w:hAnsi="Times New Roman" w:eastAsia="宋体" w:cs="Times New Roman"/>
                <w:b w:val="0"/>
                <w:bCs w:val="0"/>
                <w:color w:val="auto"/>
                <w:kern w:val="0"/>
                <w:sz w:val="24"/>
                <w:szCs w:val="24"/>
                <w:lang w:val="en-US" w:eastAsia="zh-CN"/>
              </w:rPr>
              <w:t>建设项目所在区域环境质量为不达标区，大气环境质量中超标的因子主要是PM</w:t>
            </w:r>
            <w:r>
              <w:rPr>
                <w:rFonts w:hint="default" w:ascii="Times New Roman" w:hAnsi="Times New Roman" w:eastAsia="宋体" w:cs="Times New Roman"/>
                <w:b w:val="0"/>
                <w:bCs w:val="0"/>
                <w:color w:val="auto"/>
                <w:kern w:val="0"/>
                <w:sz w:val="24"/>
                <w:szCs w:val="24"/>
                <w:vertAlign w:val="subscript"/>
                <w:lang w:val="en-US" w:eastAsia="zh-CN"/>
              </w:rPr>
              <w:t>10</w:t>
            </w:r>
            <w:r>
              <w:rPr>
                <w:rFonts w:hint="default" w:ascii="Times New Roman" w:hAnsi="Times New Roman" w:eastAsia="宋体" w:cs="Times New Roman"/>
                <w:b w:val="0"/>
                <w:bCs w:val="0"/>
                <w:color w:val="auto"/>
                <w:kern w:val="0"/>
                <w:sz w:val="24"/>
                <w:szCs w:val="24"/>
                <w:lang w:val="en-US" w:eastAsia="zh-CN"/>
              </w:rPr>
              <w:t>、PM</w:t>
            </w:r>
            <w:r>
              <w:rPr>
                <w:rFonts w:hint="default" w:ascii="Times New Roman" w:hAnsi="Times New Roman" w:eastAsia="宋体" w:cs="Times New Roman"/>
                <w:b w:val="0"/>
                <w:bCs w:val="0"/>
                <w:color w:val="auto"/>
                <w:kern w:val="0"/>
                <w:sz w:val="24"/>
                <w:szCs w:val="24"/>
                <w:vertAlign w:val="subscript"/>
                <w:lang w:val="en-US" w:eastAsia="zh-CN"/>
              </w:rPr>
              <w:t>2.5</w:t>
            </w:r>
            <w:r>
              <w:rPr>
                <w:rFonts w:hint="default" w:ascii="Times New Roman" w:hAnsi="Times New Roman" w:eastAsia="宋体" w:cs="Times New Roman"/>
                <w:b w:val="0"/>
                <w:bCs w:val="0"/>
                <w:color w:val="auto"/>
                <w:kern w:val="0"/>
                <w:sz w:val="24"/>
                <w:szCs w:val="24"/>
                <w:lang w:val="en-US" w:eastAsia="zh-CN"/>
              </w:rPr>
              <w:t>，项目污染物主要为颗粒物、二氧化硫、氮氧化物，VOCs经收集处理达标排放，二氧化硫、氮氧化物、颗粒物排放量较小，因此废气的排放可以为周边环境接受</w:t>
            </w:r>
            <w:r>
              <w:rPr>
                <w:rFonts w:hint="default" w:ascii="Times New Roman" w:hAnsi="Times New Roman" w:eastAsia="宋体" w:cs="Times New Roman"/>
                <w:kern w:val="0"/>
                <w:sz w:val="24"/>
              </w:rPr>
              <w:t>。</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（3）排放口基本情况及监测要求</w:t>
            </w:r>
          </w:p>
          <w:p>
            <w:pPr>
              <w:adjustRightInd w:val="0"/>
              <w:snapToGrid w:val="0"/>
              <w:spacing w:line="360" w:lineRule="auto"/>
              <w:ind w:firstLine="480" w:firstLineChars="200"/>
              <w:rPr>
                <w:rFonts w:hint="default" w:ascii="Times New Roman" w:hAnsi="Times New Roman" w:eastAsia="宋体" w:cs="Times New Roman"/>
                <w:color w:val="0000FF"/>
                <w:kern w:val="0"/>
                <w:sz w:val="24"/>
              </w:rPr>
            </w:pPr>
            <w:r>
              <w:rPr>
                <w:rFonts w:hint="default" w:ascii="Times New Roman" w:hAnsi="Times New Roman" w:eastAsia="宋体" w:cs="Times New Roman"/>
                <w:kern w:val="0"/>
                <w:sz w:val="24"/>
              </w:rPr>
              <w:t>根据《排污单位自行监测技术指南 总则》（HJ819-2017）、《排污单位自行监测技术指南 涂装》（HJ1086-2020）、《排污许可证申请与核发技术规范 总则》（HJ942-2018）要求及</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实际情况，制定监测计划，具体见下表</w:t>
            </w:r>
            <w:r>
              <w:rPr>
                <w:rFonts w:hint="default" w:ascii="Times New Roman" w:hAnsi="Times New Roman" w:eastAsia="宋体" w:cs="Times New Roman"/>
                <w:color w:val="0000FF"/>
                <w:kern w:val="0"/>
                <w:sz w:val="24"/>
              </w:rPr>
              <w:t>。</w:t>
            </w:r>
          </w:p>
          <w:p>
            <w:pPr>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表4-</w:t>
            </w:r>
            <w:r>
              <w:rPr>
                <w:rFonts w:hint="eastAsia" w:ascii="Times New Roman" w:hAnsi="Times New Roman" w:eastAsia="宋体" w:cs="Times New Roman"/>
                <w:b/>
                <w:kern w:val="0"/>
                <w:sz w:val="24"/>
                <w:lang w:val="en-US" w:eastAsia="zh-CN"/>
              </w:rPr>
              <w:t>4</w:t>
            </w:r>
            <w:r>
              <w:rPr>
                <w:rFonts w:hint="default" w:ascii="Times New Roman" w:hAnsi="Times New Roman" w:eastAsia="宋体" w:cs="Times New Roman"/>
                <w:b/>
                <w:kern w:val="0"/>
                <w:sz w:val="24"/>
              </w:rPr>
              <w:t xml:space="preserve"> 废气监测计划一览表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936"/>
              <w:gridCol w:w="597"/>
              <w:gridCol w:w="789"/>
              <w:gridCol w:w="789"/>
              <w:gridCol w:w="825"/>
              <w:gridCol w:w="973"/>
              <w:gridCol w:w="938"/>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排放口</w:t>
                  </w:r>
                </w:p>
              </w:tc>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地理坐标</w:t>
                  </w:r>
                </w:p>
              </w:tc>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类型</w:t>
                  </w:r>
                </w:p>
              </w:tc>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高度/m</w:t>
                  </w:r>
                </w:p>
              </w:tc>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内径/m</w:t>
                  </w:r>
                </w:p>
              </w:tc>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温度/℃</w:t>
                  </w:r>
                </w:p>
              </w:tc>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监测因子</w:t>
                  </w:r>
                </w:p>
              </w:tc>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监测频次</w:t>
                  </w:r>
                </w:p>
              </w:tc>
              <w:tc>
                <w:tcPr>
                  <w:tcW w:w="0" w:type="auto"/>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排放标准</w:t>
                  </w:r>
                  <w:r>
                    <w:rPr>
                      <w:rFonts w:hint="default" w:ascii="Times New Roman" w:hAnsi="Times New Roman" w:eastAsia="宋体" w:cs="Times New Roman"/>
                      <w:b/>
                      <w:kern w:val="0"/>
                      <w:szCs w:val="21"/>
                    </w:rPr>
                    <w:t>/mg/m</w:t>
                  </w:r>
                  <w:r>
                    <w:rPr>
                      <w:rFonts w:hint="default" w:ascii="Times New Roman" w:hAnsi="Times New Roman" w:eastAsia="宋体" w:cs="Times New Roman"/>
                      <w:b/>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0" w:type="auto"/>
                  <w:gridSpan w:val="6"/>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厂界</w:t>
                  </w: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颗粒物</w:t>
                  </w: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1次/半年</w:t>
                  </w: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0" w:type="auto"/>
                  <w:gridSpan w:val="6"/>
                  <w:vMerge w:val="continue"/>
                  <w:vAlign w:val="center"/>
                </w:tcPr>
                <w:p>
                  <w:pPr>
                    <w:jc w:val="center"/>
                    <w:rPr>
                      <w:rFonts w:hint="default" w:ascii="Times New Roman" w:hAnsi="Times New Roman" w:eastAsia="宋体" w:cs="Times New Roman"/>
                      <w:kern w:val="0"/>
                      <w:szCs w:val="21"/>
                    </w:rPr>
                  </w:pP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1次/半年</w:t>
                  </w: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0" w:type="auto"/>
                  <w:gridSpan w:val="6"/>
                  <w:vMerge w:val="continue"/>
                  <w:vAlign w:val="center"/>
                </w:tcPr>
                <w:p>
                  <w:pPr>
                    <w:jc w:val="center"/>
                    <w:rPr>
                      <w:rFonts w:hint="default" w:ascii="Times New Roman" w:hAnsi="Times New Roman" w:eastAsia="宋体" w:cs="Times New Roman"/>
                      <w:kern w:val="0"/>
                      <w:szCs w:val="21"/>
                    </w:rPr>
                  </w:pP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X</w:t>
                  </w: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1次/半年</w:t>
                  </w:r>
                </w:p>
              </w:tc>
              <w:tc>
                <w:tcPr>
                  <w:tcW w:w="0" w:type="auto"/>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0.12</w:t>
                  </w:r>
                </w:p>
              </w:tc>
            </w:tr>
          </w:tbl>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（4）非正常工况</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非正常工况是指工艺运行中所有生产运行技术参数未达到设计范围的情况。包括生产运行阶段的开停车、检修，工艺设备的运转异常、污染物排放控制措施达不到应有的效率、一般性事故和泄漏，以及发生严重的环境事故等。</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就</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来讲，开停车、检修均在生产设备及环保设备正常运行时进行，开启设备时，先开启环保设备，再开启生产设备；停车及停车检修时先关闭生产设备，后关闭环保设备，只要按顺序进行操作，基本不会有非生产排放现象发生。项目主要考虑环保系统出现故障时的废气排放情况，经现场调查，</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非正常工况主要是由于停电、设备故障等原因，环保设备出现故障后废气去除率降低甚至为零，导致污染物在一段时间内排放量增加，污染环境。</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针对上述情况，本环评建议项目方采取如下措施：</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①</w:t>
            </w:r>
            <w:r>
              <w:rPr>
                <w:rFonts w:hint="default" w:ascii="Times New Roman" w:hAnsi="Times New Roman" w:eastAsia="宋体" w:cs="Times New Roman"/>
                <w:kern w:val="0"/>
                <w:sz w:val="24"/>
                <w:lang w:val="zh-CN"/>
              </w:rPr>
              <w:t>发生停电时及时转换电力线路；</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②对废气处理设施认真保养维护，定期进行检修，最大程度减少设备发生故障的可能性；</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③开车前，废气处理设施运转正常再开车，同时逐渐扩大产能；停车时逐步降低产能，并直到全部停后再停环保设施。确保由于开停车产生的大气污染物得到有效治理，并满足相关标准要求。</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建设单位应及时检修设备，按操作规程严格操作，并定期巡视、检修，确保废气治理设施正常运行。</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（5）结论</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综上，在落实环评提出的各项环境保护措施基础上，项目废气排放可以达到最低排放强度和排放浓度要求，</w:t>
            </w:r>
            <w:r>
              <w:rPr>
                <w:rFonts w:hint="eastAsia" w:cs="Times New Roman"/>
                <w:kern w:val="0"/>
                <w:sz w:val="24"/>
                <w:lang w:eastAsia="zh-CN"/>
              </w:rPr>
              <w:t>绿化</w:t>
            </w:r>
            <w:r>
              <w:rPr>
                <w:rFonts w:hint="default" w:ascii="Times New Roman" w:hAnsi="Times New Roman" w:eastAsia="宋体" w:cs="Times New Roman"/>
                <w:kern w:val="0"/>
                <w:sz w:val="24"/>
              </w:rPr>
              <w:t>投资4万元，为企业可接受范围，因此，项目废气治理措施可行，经济合理，项目排放的大气污染物对周围环境影响较小，其环境影响可接受。</w:t>
            </w:r>
          </w:p>
          <w:p>
            <w:pPr>
              <w:adjustRightInd w:val="0"/>
              <w:snapToGrid w:val="0"/>
              <w:spacing w:line="360" w:lineRule="auto"/>
              <w:jc w:val="left"/>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2、废水</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eastAsia="zh-CN"/>
              </w:rPr>
              <w:t>技改项目无废水外排；技改</w:t>
            </w:r>
            <w:r>
              <w:rPr>
                <w:rFonts w:hint="default" w:ascii="Times New Roman" w:hAnsi="Times New Roman" w:eastAsia="宋体" w:cs="Times New Roman"/>
                <w:kern w:val="0"/>
                <w:sz w:val="24"/>
              </w:rPr>
              <w:t>项目</w:t>
            </w:r>
            <w:r>
              <w:rPr>
                <w:rFonts w:hint="default" w:ascii="Times New Roman" w:hAnsi="Times New Roman" w:eastAsia="宋体" w:cs="Times New Roman"/>
                <w:kern w:val="0"/>
                <w:sz w:val="24"/>
                <w:lang w:eastAsia="zh-CN"/>
              </w:rPr>
              <w:t>建成后全厂</w:t>
            </w:r>
            <w:r>
              <w:rPr>
                <w:rFonts w:hint="default" w:ascii="Times New Roman" w:hAnsi="Times New Roman" w:eastAsia="宋体" w:cs="Times New Roman"/>
                <w:kern w:val="0"/>
                <w:sz w:val="24"/>
              </w:rPr>
              <w:t>废水主要为生活污水，生活污水产生量按用水量的80%计，约为</w:t>
            </w:r>
            <w:r>
              <w:rPr>
                <w:rFonts w:hint="eastAsia" w:cs="Times New Roman"/>
                <w:kern w:val="0"/>
                <w:sz w:val="24"/>
                <w:lang w:val="en-US" w:eastAsia="zh-CN"/>
              </w:rPr>
              <w:t>156.8</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/a。生活污水主要污染物浓度为CODcr：350mg/L，NH</w:t>
            </w:r>
            <w:r>
              <w:rPr>
                <w:rFonts w:hint="default" w:ascii="Times New Roman" w:hAnsi="Times New Roman" w:eastAsia="宋体" w:cs="Times New Roman"/>
                <w:kern w:val="0"/>
                <w:sz w:val="24"/>
                <w:vertAlign w:val="subscript"/>
              </w:rPr>
              <w:t>3</w:t>
            </w:r>
            <w:r>
              <w:rPr>
                <w:rFonts w:hint="default" w:ascii="Times New Roman" w:hAnsi="Times New Roman" w:eastAsia="宋体" w:cs="Times New Roman"/>
                <w:kern w:val="0"/>
                <w:sz w:val="24"/>
              </w:rPr>
              <w:t>-N：35mg/L，各主要污染物产生量为CODcr：0.0</w:t>
            </w:r>
            <w:r>
              <w:rPr>
                <w:rFonts w:hint="eastAsia" w:cs="Times New Roman"/>
                <w:kern w:val="0"/>
                <w:sz w:val="24"/>
                <w:lang w:val="en-US" w:eastAsia="zh-CN"/>
              </w:rPr>
              <w:t>549</w:t>
            </w:r>
            <w:r>
              <w:rPr>
                <w:rFonts w:hint="default" w:ascii="Times New Roman" w:hAnsi="Times New Roman" w:eastAsia="宋体" w:cs="Times New Roman"/>
                <w:kern w:val="0"/>
                <w:sz w:val="24"/>
              </w:rPr>
              <w:t>t/a，NH</w:t>
            </w:r>
            <w:r>
              <w:rPr>
                <w:rFonts w:hint="default" w:ascii="Times New Roman" w:hAnsi="Times New Roman" w:eastAsia="宋体" w:cs="Times New Roman"/>
                <w:kern w:val="0"/>
                <w:sz w:val="24"/>
                <w:vertAlign w:val="subscript"/>
              </w:rPr>
              <w:t>3</w:t>
            </w:r>
            <w:r>
              <w:rPr>
                <w:rFonts w:hint="default" w:ascii="Times New Roman" w:hAnsi="Times New Roman" w:eastAsia="宋体" w:cs="Times New Roman"/>
                <w:kern w:val="0"/>
                <w:sz w:val="24"/>
              </w:rPr>
              <w:t>-N：0.00</w:t>
            </w:r>
            <w:r>
              <w:rPr>
                <w:rFonts w:hint="eastAsia" w:cs="Times New Roman"/>
                <w:kern w:val="0"/>
                <w:sz w:val="24"/>
                <w:lang w:val="en-US" w:eastAsia="zh-CN"/>
              </w:rPr>
              <w:t>549</w:t>
            </w:r>
            <w:r>
              <w:rPr>
                <w:rFonts w:hint="default" w:ascii="Times New Roman" w:hAnsi="Times New Roman" w:eastAsia="宋体" w:cs="Times New Roman"/>
                <w:kern w:val="0"/>
                <w:sz w:val="24"/>
              </w:rPr>
              <w:t>t/a，生活污水经旱厕暂存后用作周边农田农肥。因此，</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对周边地表水环境影响较小。</w:t>
            </w:r>
          </w:p>
          <w:p>
            <w:pPr>
              <w:adjustRightInd w:val="0"/>
              <w:snapToGrid w:val="0"/>
              <w:spacing w:line="360" w:lineRule="auto"/>
              <w:rPr>
                <w:rFonts w:hint="default" w:ascii="Times New Roman" w:hAnsi="Times New Roman" w:eastAsia="宋体" w:cs="Times New Roman"/>
                <w:bCs/>
                <w:kern w:val="0"/>
                <w:sz w:val="24"/>
              </w:rPr>
            </w:pPr>
            <w:r>
              <w:rPr>
                <w:rFonts w:hint="default" w:ascii="Times New Roman" w:hAnsi="Times New Roman" w:eastAsia="宋体" w:cs="Times New Roman"/>
                <w:b/>
                <w:kern w:val="0"/>
                <w:sz w:val="24"/>
              </w:rPr>
              <w:t>3、噪声</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（1）噪声产生情况</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噪声源均布置在车间内部，主要来自封底机、下料机、烧底机、封口机、电炉箱、清洗机、压颈机、甩干机、擦杯机、空压机等生产设备运行产生的噪声，噪声源强为60~95dB（A）。主要设备的噪声源强及控制方案见下表。</w:t>
            </w:r>
          </w:p>
          <w:p>
            <w:pPr>
              <w:pStyle w:val="34"/>
              <w:spacing w:line="240" w:lineRule="auto"/>
              <w:outlineLvl w:val="4"/>
              <w:rPr>
                <w:rFonts w:hint="default" w:ascii="Times New Roman" w:hAnsi="Times New Roman" w:eastAsia="宋体" w:cs="Times New Roman"/>
                <w:caps w:val="0"/>
                <w:kern w:val="0"/>
              </w:rPr>
            </w:pPr>
            <w:r>
              <w:rPr>
                <w:rFonts w:hint="default" w:ascii="Times New Roman" w:hAnsi="Times New Roman" w:eastAsia="宋体" w:cs="Times New Roman"/>
                <w:caps w:val="0"/>
                <w:kern w:val="0"/>
              </w:rPr>
              <w:t>表4-</w:t>
            </w:r>
            <w:r>
              <w:rPr>
                <w:rFonts w:hint="eastAsia" w:ascii="Times New Roman" w:hAnsi="Times New Roman" w:eastAsia="宋体" w:cs="Times New Roman"/>
                <w:caps w:val="0"/>
                <w:kern w:val="0"/>
                <w:lang w:val="en-US" w:eastAsia="zh-CN"/>
              </w:rPr>
              <w:t>6</w:t>
            </w:r>
            <w:r>
              <w:rPr>
                <w:rFonts w:hint="default" w:ascii="Times New Roman" w:hAnsi="Times New Roman" w:eastAsia="宋体" w:cs="Times New Roman"/>
                <w:caps w:val="0"/>
                <w:kern w:val="0"/>
              </w:rPr>
              <w:t xml:space="preserve"> 主要设备的噪声源强及控制方案一览表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3"/>
              <w:gridCol w:w="1536"/>
              <w:gridCol w:w="583"/>
              <w:gridCol w:w="915"/>
              <w:gridCol w:w="588"/>
              <w:gridCol w:w="976"/>
              <w:gridCol w:w="980"/>
              <w:gridCol w:w="1000"/>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Merge w:val="restar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序号</w:t>
                  </w:r>
                </w:p>
              </w:tc>
              <w:tc>
                <w:tcPr>
                  <w:tcW w:w="943" w:type="pct"/>
                  <w:vMerge w:val="restar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装置</w:t>
                  </w:r>
                </w:p>
              </w:tc>
              <w:tc>
                <w:tcPr>
                  <w:tcW w:w="358" w:type="pct"/>
                  <w:vMerge w:val="restar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台数/台</w:t>
                  </w:r>
                </w:p>
              </w:tc>
              <w:tc>
                <w:tcPr>
                  <w:tcW w:w="562" w:type="pct"/>
                  <w:vMerge w:val="restar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声源类型</w:t>
                  </w:r>
                </w:p>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（偶发/频发）</w:t>
                  </w:r>
                </w:p>
              </w:tc>
              <w:tc>
                <w:tcPr>
                  <w:tcW w:w="361" w:type="pct"/>
                  <w:vMerge w:val="restar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持续时间h</w:t>
                  </w:r>
                </w:p>
              </w:tc>
              <w:tc>
                <w:tcPr>
                  <w:tcW w:w="599"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噪声源强</w:t>
                  </w:r>
                </w:p>
              </w:tc>
              <w:tc>
                <w:tcPr>
                  <w:tcW w:w="1216" w:type="pct"/>
                  <w:gridSpan w:val="2"/>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降噪措施</w:t>
                  </w:r>
                </w:p>
              </w:tc>
              <w:tc>
                <w:tcPr>
                  <w:tcW w:w="600"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噪声排放值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Merge w:val="continue"/>
                  <w:vAlign w:val="center"/>
                </w:tcPr>
                <w:p>
                  <w:pPr>
                    <w:widowControl/>
                    <w:jc w:val="center"/>
                    <w:rPr>
                      <w:rFonts w:hint="default" w:ascii="Times New Roman" w:hAnsi="Times New Roman" w:eastAsia="宋体" w:cs="Times New Roman"/>
                      <w:b/>
                      <w:bCs/>
                      <w:kern w:val="0"/>
                      <w:szCs w:val="21"/>
                    </w:rPr>
                  </w:pPr>
                </w:p>
              </w:tc>
              <w:tc>
                <w:tcPr>
                  <w:tcW w:w="943" w:type="pct"/>
                  <w:vMerge w:val="continue"/>
                  <w:vAlign w:val="center"/>
                </w:tcPr>
                <w:p>
                  <w:pPr>
                    <w:widowControl/>
                    <w:jc w:val="center"/>
                    <w:rPr>
                      <w:rFonts w:hint="default" w:ascii="Times New Roman" w:hAnsi="Times New Roman" w:eastAsia="宋体" w:cs="Times New Roman"/>
                      <w:b/>
                      <w:bCs/>
                      <w:kern w:val="0"/>
                      <w:szCs w:val="21"/>
                    </w:rPr>
                  </w:pPr>
                </w:p>
              </w:tc>
              <w:tc>
                <w:tcPr>
                  <w:tcW w:w="358" w:type="pct"/>
                  <w:vMerge w:val="continue"/>
                  <w:vAlign w:val="center"/>
                </w:tcPr>
                <w:p>
                  <w:pPr>
                    <w:widowControl/>
                    <w:jc w:val="center"/>
                    <w:rPr>
                      <w:rFonts w:hint="default" w:ascii="Times New Roman" w:hAnsi="Times New Roman" w:eastAsia="宋体" w:cs="Times New Roman"/>
                      <w:b/>
                      <w:bCs/>
                      <w:kern w:val="0"/>
                      <w:szCs w:val="21"/>
                    </w:rPr>
                  </w:pPr>
                </w:p>
              </w:tc>
              <w:tc>
                <w:tcPr>
                  <w:tcW w:w="562" w:type="pct"/>
                  <w:vMerge w:val="continue"/>
                  <w:vAlign w:val="center"/>
                </w:tcPr>
                <w:p>
                  <w:pPr>
                    <w:widowControl/>
                    <w:jc w:val="center"/>
                    <w:rPr>
                      <w:rFonts w:hint="default" w:ascii="Times New Roman" w:hAnsi="Times New Roman" w:eastAsia="宋体" w:cs="Times New Roman"/>
                      <w:b/>
                      <w:bCs/>
                      <w:kern w:val="0"/>
                      <w:szCs w:val="21"/>
                    </w:rPr>
                  </w:pPr>
                </w:p>
              </w:tc>
              <w:tc>
                <w:tcPr>
                  <w:tcW w:w="361" w:type="pct"/>
                  <w:vMerge w:val="continue"/>
                  <w:vAlign w:val="center"/>
                </w:tcPr>
                <w:p>
                  <w:pPr>
                    <w:widowControl/>
                    <w:jc w:val="center"/>
                    <w:rPr>
                      <w:rFonts w:hint="default" w:ascii="Times New Roman" w:hAnsi="Times New Roman" w:eastAsia="宋体" w:cs="Times New Roman"/>
                      <w:b/>
                      <w:bCs/>
                      <w:kern w:val="0"/>
                      <w:szCs w:val="21"/>
                    </w:rPr>
                  </w:pPr>
                </w:p>
              </w:tc>
              <w:tc>
                <w:tcPr>
                  <w:tcW w:w="599"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噪声值/</w:t>
                  </w:r>
                </w:p>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dB（A）</w:t>
                  </w:r>
                </w:p>
              </w:tc>
              <w:tc>
                <w:tcPr>
                  <w:tcW w:w="602"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工艺</w:t>
                  </w:r>
                </w:p>
              </w:tc>
              <w:tc>
                <w:tcPr>
                  <w:tcW w:w="613"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降噪效果/</w:t>
                  </w:r>
                </w:p>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dB（A）</w:t>
                  </w:r>
                </w:p>
              </w:tc>
              <w:tc>
                <w:tcPr>
                  <w:tcW w:w="600"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噪声值/</w:t>
                  </w:r>
                </w:p>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封底机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频发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w:t>
                  </w:r>
                </w:p>
              </w:tc>
              <w:tc>
                <w:tcPr>
                  <w:tcW w:w="602"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厂房隔声，基础减振，低噪音设备</w:t>
                  </w:r>
                </w:p>
              </w:tc>
              <w:tc>
                <w:tcPr>
                  <w:tcW w:w="613"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20~30</w:t>
                  </w: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下料机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频发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烧底机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频发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封口机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频发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电炉箱</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频发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60</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清洗机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偶发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70</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压颈机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频发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75</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甩干机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偶发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75</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擦杯机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频发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943"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空压机</w:t>
                  </w:r>
                </w:p>
              </w:tc>
              <w:tc>
                <w:tcPr>
                  <w:tcW w:w="358"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5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频发</w:t>
                  </w:r>
                </w:p>
              </w:tc>
              <w:tc>
                <w:tcPr>
                  <w:tcW w:w="36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59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95</w:t>
                  </w:r>
                </w:p>
              </w:tc>
              <w:tc>
                <w:tcPr>
                  <w:tcW w:w="602" w:type="pct"/>
                  <w:vMerge w:val="continue"/>
                  <w:vAlign w:val="center"/>
                </w:tcPr>
                <w:p>
                  <w:pPr>
                    <w:jc w:val="center"/>
                    <w:rPr>
                      <w:rFonts w:hint="default" w:ascii="Times New Roman" w:hAnsi="Times New Roman" w:eastAsia="宋体" w:cs="Times New Roman"/>
                      <w:kern w:val="0"/>
                      <w:szCs w:val="21"/>
                    </w:rPr>
                  </w:pPr>
                </w:p>
              </w:tc>
              <w:tc>
                <w:tcPr>
                  <w:tcW w:w="613" w:type="pct"/>
                  <w:vMerge w:val="continue"/>
                  <w:vAlign w:val="center"/>
                </w:tcPr>
                <w:p>
                  <w:pPr>
                    <w:jc w:val="center"/>
                    <w:rPr>
                      <w:rFonts w:hint="default" w:ascii="Times New Roman" w:hAnsi="Times New Roman" w:eastAsia="宋体" w:cs="Times New Roman"/>
                      <w:kern w:val="0"/>
                      <w:szCs w:val="21"/>
                    </w:rPr>
                  </w:pPr>
                </w:p>
              </w:tc>
              <w:tc>
                <w:tcPr>
                  <w:tcW w:w="60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w:t>
                  </w:r>
                </w:p>
              </w:tc>
            </w:tr>
          </w:tbl>
          <w:p>
            <w:pPr>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表4-</w:t>
            </w:r>
            <w:r>
              <w:rPr>
                <w:rFonts w:hint="eastAsia" w:ascii="Times New Roman" w:hAnsi="Times New Roman" w:eastAsia="宋体" w:cs="Times New Roman"/>
                <w:b/>
                <w:kern w:val="0"/>
                <w:sz w:val="24"/>
                <w:lang w:val="en-US" w:eastAsia="zh-CN"/>
              </w:rPr>
              <w:t>7</w:t>
            </w:r>
            <w:r>
              <w:rPr>
                <w:rFonts w:hint="default" w:ascii="Times New Roman" w:hAnsi="Times New Roman" w:eastAsia="宋体" w:cs="Times New Roman"/>
                <w:b/>
                <w:kern w:val="0"/>
                <w:sz w:val="24"/>
              </w:rPr>
              <w:t xml:space="preserve"> 项目主要噪声源强及位置一览表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17"/>
              <w:gridCol w:w="510"/>
              <w:gridCol w:w="1845"/>
              <w:gridCol w:w="685"/>
              <w:gridCol w:w="1320"/>
              <w:gridCol w:w="790"/>
              <w:gridCol w:w="896"/>
              <w:gridCol w:w="810"/>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序号</w:t>
                  </w:r>
                </w:p>
              </w:tc>
              <w:tc>
                <w:tcPr>
                  <w:tcW w:w="1445" w:type="pct"/>
                  <w:gridSpan w:val="2"/>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噪声设备</w:t>
                  </w:r>
                </w:p>
              </w:tc>
              <w:tc>
                <w:tcPr>
                  <w:tcW w:w="420"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台数</w:t>
                  </w:r>
                </w:p>
              </w:tc>
              <w:tc>
                <w:tcPr>
                  <w:tcW w:w="81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预测源强</w:t>
                  </w:r>
                </w:p>
              </w:tc>
              <w:tc>
                <w:tcPr>
                  <w:tcW w:w="2006" w:type="pct"/>
                  <w:gridSpan w:val="4"/>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与四厂界最近距离/m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Merge w:val="continue"/>
                  <w:vAlign w:val="center"/>
                </w:tcPr>
                <w:p>
                  <w:pPr>
                    <w:jc w:val="center"/>
                    <w:rPr>
                      <w:rFonts w:hint="default" w:ascii="Times New Roman" w:hAnsi="Times New Roman" w:eastAsia="宋体" w:cs="Times New Roman"/>
                      <w:kern w:val="0"/>
                      <w:szCs w:val="21"/>
                    </w:rPr>
                  </w:pPr>
                </w:p>
              </w:tc>
              <w:tc>
                <w:tcPr>
                  <w:tcW w:w="1445" w:type="pct"/>
                  <w:gridSpan w:val="2"/>
                  <w:vMerge w:val="continue"/>
                  <w:vAlign w:val="center"/>
                </w:tcPr>
                <w:p>
                  <w:pPr>
                    <w:jc w:val="center"/>
                    <w:rPr>
                      <w:rFonts w:hint="default" w:ascii="Times New Roman" w:hAnsi="Times New Roman" w:eastAsia="宋体" w:cs="Times New Roman"/>
                      <w:kern w:val="0"/>
                      <w:szCs w:val="21"/>
                    </w:rPr>
                  </w:pPr>
                </w:p>
              </w:tc>
              <w:tc>
                <w:tcPr>
                  <w:tcW w:w="420" w:type="pct"/>
                  <w:vMerge w:val="continue"/>
                  <w:vAlign w:val="center"/>
                </w:tcPr>
                <w:p>
                  <w:pPr>
                    <w:jc w:val="center"/>
                    <w:rPr>
                      <w:rFonts w:hint="default" w:ascii="Times New Roman" w:hAnsi="Times New Roman" w:eastAsia="宋体" w:cs="Times New Roman"/>
                      <w:kern w:val="0"/>
                      <w:szCs w:val="21"/>
                    </w:rPr>
                  </w:pPr>
                </w:p>
              </w:tc>
              <w:tc>
                <w:tcPr>
                  <w:tcW w:w="81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噪声值dB（A）</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东</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西</w:t>
                  </w:r>
                </w:p>
              </w:tc>
              <w:tc>
                <w:tcPr>
                  <w:tcW w:w="49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南</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313" w:type="pct"/>
                  <w:vMerge w:val="restar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生产车间</w:t>
                  </w: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封底机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42.78</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27</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24</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下料机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39.77</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27</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烧底机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46.76</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27</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封口机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45</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29</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42</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电炉箱</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41.76</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29</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43</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清洗机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40</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33</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压颈机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48.01</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27</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23</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甩干机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45</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33</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擦杯机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38.01</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33</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trPr>
              <w:tc>
                <w:tcPr>
                  <w:tcW w:w="317"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313" w:type="pct"/>
                  <w:vMerge w:val="continue"/>
                  <w:vAlign w:val="center"/>
                </w:tcPr>
                <w:p>
                  <w:pPr>
                    <w:jc w:val="center"/>
                    <w:rPr>
                      <w:rFonts w:hint="default" w:ascii="Times New Roman" w:hAnsi="Times New Roman" w:eastAsia="宋体" w:cs="Times New Roman"/>
                      <w:kern w:val="0"/>
                      <w:szCs w:val="21"/>
                    </w:rPr>
                  </w:pPr>
                </w:p>
              </w:tc>
              <w:tc>
                <w:tcPr>
                  <w:tcW w:w="1132"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空压机</w:t>
                  </w:r>
                </w:p>
              </w:tc>
              <w:tc>
                <w:tcPr>
                  <w:tcW w:w="420" w:type="pct"/>
                  <w:vAlign w:val="center"/>
                </w:tcPr>
                <w:p>
                  <w:pPr>
                    <w:widowControl/>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810"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69.77</w:t>
                  </w:r>
                </w:p>
              </w:tc>
              <w:tc>
                <w:tcPr>
                  <w:tcW w:w="485"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23</w:t>
                  </w:r>
                </w:p>
              </w:tc>
              <w:tc>
                <w:tcPr>
                  <w:tcW w:w="55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497" w:type="pct"/>
                  <w:vAlign w:val="bottom"/>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26</w:t>
                  </w:r>
                </w:p>
              </w:tc>
              <w:tc>
                <w:tcPr>
                  <w:tcW w:w="4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r>
          </w:tbl>
          <w:p>
            <w:pPr>
              <w:spacing w:line="360" w:lineRule="auto"/>
              <w:ind w:firstLine="482" w:firstLineChars="200"/>
              <w:rPr>
                <w:rFonts w:hint="default" w:ascii="Times New Roman" w:hAnsi="Times New Roman" w:eastAsia="宋体" w:cs="Times New Roman"/>
                <w:kern w:val="0"/>
                <w:sz w:val="24"/>
              </w:rPr>
            </w:pPr>
            <w:r>
              <w:rPr>
                <w:rFonts w:hint="default" w:ascii="Times New Roman" w:hAnsi="Times New Roman" w:eastAsia="宋体" w:cs="Times New Roman"/>
                <w:b/>
                <w:bCs/>
                <w:kern w:val="0"/>
                <w:sz w:val="24"/>
              </w:rPr>
              <w:t>（2）厂界和环境保护目标达标情况</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w:t>
            </w:r>
            <w:r>
              <w:rPr>
                <w:rFonts w:hint="eastAsia" w:ascii="Times New Roman" w:hAnsi="Times New Roman" w:eastAsia="宋体" w:cs="Times New Roman"/>
                <w:kern w:val="0"/>
                <w:sz w:val="24"/>
                <w:lang w:eastAsia="zh-CN"/>
              </w:rPr>
              <w:t>技改</w:t>
            </w:r>
            <w:r>
              <w:rPr>
                <w:rFonts w:hint="default" w:ascii="Times New Roman" w:hAnsi="Times New Roman" w:eastAsia="宋体" w:cs="Times New Roman"/>
                <w:kern w:val="0"/>
                <w:sz w:val="24"/>
              </w:rPr>
              <w:t>项目</w:t>
            </w:r>
            <w:r>
              <w:rPr>
                <w:rFonts w:hint="default" w:ascii="Times New Roman" w:hAnsi="Times New Roman" w:eastAsia="宋体" w:cs="Times New Roman"/>
                <w:kern w:val="0"/>
                <w:sz w:val="24"/>
                <w:lang w:eastAsia="zh-CN"/>
              </w:rPr>
              <w:t>实际情况，因设备位置发生改变，噪声源位置发生移动，预测时未考虑现有项目噪声值。</w:t>
            </w:r>
            <w:r>
              <w:rPr>
                <w:rFonts w:hint="default" w:ascii="Times New Roman" w:hAnsi="Times New Roman" w:eastAsia="宋体" w:cs="Times New Roman"/>
                <w:kern w:val="0"/>
                <w:sz w:val="24"/>
              </w:rPr>
              <w:t>按照《环境影响评价技术导则 声环境》（HJ2.4-2009）附录A中预测计算模式进行预测，项目建成后各厂界预测点的噪声预测结果见下表。</w:t>
            </w:r>
          </w:p>
          <w:p>
            <w:pPr>
              <w:widowControl/>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噪声影响预测分析</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基准预测点噪声级叠加公式：</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object>
                <v:shape id="_x0000_i1025" o:spt="75" type="#_x0000_t75" style="height:59.25pt;width:125.2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式中：Lpe—叠加后总声级，dB(A)；</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L</w:t>
            </w:r>
            <w:r>
              <w:rPr>
                <w:rFonts w:hint="default" w:ascii="Times New Roman" w:hAnsi="Times New Roman" w:eastAsia="宋体" w:cs="Times New Roman"/>
                <w:kern w:val="0"/>
                <w:sz w:val="24"/>
                <w:vertAlign w:val="subscript"/>
              </w:rPr>
              <w:t>Pi</w:t>
            </w:r>
            <w:r>
              <w:rPr>
                <w:rFonts w:hint="default" w:ascii="Times New Roman" w:hAnsi="Times New Roman" w:eastAsia="宋体" w:cs="Times New Roman"/>
                <w:kern w:val="0"/>
                <w:sz w:val="24"/>
              </w:rPr>
              <w:t>—i声源至基准预测点的声级，dB(A)；</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n—噪声源数目。</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用上述公式计算出各噪声源点至基准预测点的总声级，然后以基准预测点的噪声强度为工程噪声源强。</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计算预测点的声级：</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object>
                <v:shape id="_x0000_i1026" o:spt="75" type="#_x0000_t75" style="height:18.75pt;width:222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式中：Lp（r）—距声源r处的A声级，dB；</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A</w:t>
            </w:r>
            <w:r>
              <w:rPr>
                <w:rFonts w:hint="default" w:ascii="Times New Roman" w:hAnsi="Times New Roman" w:eastAsia="宋体" w:cs="Times New Roman"/>
                <w:kern w:val="0"/>
                <w:sz w:val="24"/>
                <w:vertAlign w:val="subscript"/>
              </w:rPr>
              <w:t>div</w:t>
            </w:r>
            <w:r>
              <w:rPr>
                <w:rFonts w:hint="default" w:ascii="Times New Roman" w:hAnsi="Times New Roman" w:eastAsia="宋体" w:cs="Times New Roman"/>
                <w:kern w:val="0"/>
                <w:sz w:val="24"/>
              </w:rPr>
              <w:t>—声波几何发散引起的A声级衰减量，dB，A</w:t>
            </w:r>
            <w:r>
              <w:rPr>
                <w:rFonts w:hint="default" w:ascii="Times New Roman" w:hAnsi="Times New Roman" w:eastAsia="宋体" w:cs="Times New Roman"/>
                <w:kern w:val="0"/>
                <w:sz w:val="24"/>
                <w:vertAlign w:val="subscript"/>
              </w:rPr>
              <w:t>div</w:t>
            </w:r>
            <w:r>
              <w:rPr>
                <w:rFonts w:hint="default" w:ascii="Times New Roman" w:hAnsi="Times New Roman" w:eastAsia="宋体" w:cs="Times New Roman"/>
                <w:kern w:val="0"/>
                <w:sz w:val="24"/>
              </w:rPr>
              <w:t>=20</w:t>
            </w:r>
            <w:r>
              <w:rPr>
                <w:rFonts w:hint="default" w:ascii="Times New Roman" w:hAnsi="Times New Roman" w:eastAsia="宋体" w:cs="Times New Roman"/>
                <w:kern w:val="0"/>
                <w:sz w:val="24"/>
              </w:rPr>
              <w:drawing>
                <wp:inline distT="0" distB="0" distL="114300" distR="114300">
                  <wp:extent cx="175260" cy="198120"/>
                  <wp:effectExtent l="0" t="0" r="0" b="12065"/>
                  <wp:docPr id="6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3"/>
                          <pic:cNvPicPr>
                            <a:picLocks noChangeAspect="1"/>
                          </pic:cNvPicPr>
                        </pic:nvPicPr>
                        <pic:blipFill>
                          <a:blip r:embed="rId16"/>
                          <a:stretch>
                            <a:fillRect/>
                          </a:stretch>
                        </pic:blipFill>
                        <pic:spPr>
                          <a:xfrm>
                            <a:off x="0" y="0"/>
                            <a:ext cx="175260" cy="198120"/>
                          </a:xfrm>
                          <a:prstGeom prst="rect">
                            <a:avLst/>
                          </a:prstGeom>
                          <a:noFill/>
                          <a:ln>
                            <a:noFill/>
                          </a:ln>
                        </pic:spPr>
                      </pic:pic>
                    </a:graphicData>
                  </a:graphic>
                </wp:inline>
              </w:drawing>
            </w:r>
            <w:r>
              <w:rPr>
                <w:rFonts w:hint="default" w:ascii="Times New Roman" w:hAnsi="Times New Roman" w:eastAsia="宋体" w:cs="Times New Roman"/>
                <w:kern w:val="0"/>
                <w:sz w:val="24"/>
              </w:rPr>
              <w:t>（r/r</w:t>
            </w:r>
            <w:r>
              <w:rPr>
                <w:rFonts w:hint="default" w:ascii="Times New Roman" w:hAnsi="Times New Roman" w:eastAsia="宋体" w:cs="Times New Roman"/>
                <w:kern w:val="0"/>
                <w:sz w:val="24"/>
                <w:vertAlign w:val="subscript"/>
              </w:rPr>
              <w:t>0</w:t>
            </w:r>
            <w:r>
              <w:rPr>
                <w:rFonts w:hint="default" w:ascii="Times New Roman" w:hAnsi="Times New Roman" w:eastAsia="宋体" w:cs="Times New Roman"/>
                <w:kern w:val="0"/>
                <w:sz w:val="24"/>
              </w:rPr>
              <w:t>）；</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A</w:t>
            </w:r>
            <w:r>
              <w:rPr>
                <w:rFonts w:hint="default" w:ascii="Times New Roman" w:hAnsi="Times New Roman" w:eastAsia="宋体" w:cs="Times New Roman"/>
                <w:kern w:val="0"/>
                <w:sz w:val="24"/>
                <w:vertAlign w:val="subscript"/>
              </w:rPr>
              <w:t>bar</w:t>
            </w:r>
            <w:r>
              <w:rPr>
                <w:rFonts w:hint="default" w:ascii="Times New Roman" w:hAnsi="Times New Roman" w:eastAsia="宋体" w:cs="Times New Roman"/>
                <w:kern w:val="0"/>
                <w:sz w:val="24"/>
              </w:rPr>
              <w:t>—遮挡物引起的A声级衰减量dB；</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A</w:t>
            </w:r>
            <w:r>
              <w:rPr>
                <w:rFonts w:hint="default" w:ascii="Times New Roman" w:hAnsi="Times New Roman" w:eastAsia="宋体" w:cs="Times New Roman"/>
                <w:kern w:val="0"/>
                <w:sz w:val="24"/>
                <w:vertAlign w:val="subscript"/>
              </w:rPr>
              <w:t>atm</w:t>
            </w:r>
            <w:r>
              <w:rPr>
                <w:rFonts w:hint="default" w:ascii="Times New Roman" w:hAnsi="Times New Roman" w:eastAsia="宋体" w:cs="Times New Roman"/>
                <w:kern w:val="0"/>
                <w:sz w:val="24"/>
              </w:rPr>
              <w:t>—地面效应引起的倍频带衰减量dB；</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A</w:t>
            </w:r>
            <w:r>
              <w:rPr>
                <w:rFonts w:hint="default" w:ascii="Times New Roman" w:hAnsi="Times New Roman" w:eastAsia="宋体" w:cs="Times New Roman"/>
                <w:kern w:val="0"/>
                <w:sz w:val="24"/>
                <w:vertAlign w:val="subscript"/>
              </w:rPr>
              <w:t>gr</w:t>
            </w:r>
            <w:r>
              <w:rPr>
                <w:rFonts w:hint="default" w:ascii="Times New Roman" w:hAnsi="Times New Roman" w:eastAsia="宋体" w:cs="Times New Roman"/>
                <w:kern w:val="0"/>
                <w:sz w:val="24"/>
              </w:rPr>
              <w:t>—遮挡物引起的A声级衰减量dB；</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A</w:t>
            </w:r>
            <w:r>
              <w:rPr>
                <w:rFonts w:hint="default" w:ascii="Times New Roman" w:hAnsi="Times New Roman" w:eastAsia="宋体" w:cs="Times New Roman"/>
                <w:kern w:val="0"/>
                <w:sz w:val="24"/>
                <w:vertAlign w:val="subscript"/>
              </w:rPr>
              <w:t>gr</w:t>
            </w:r>
            <w:r>
              <w:rPr>
                <w:rFonts w:hint="default" w:ascii="Times New Roman" w:hAnsi="Times New Roman" w:eastAsia="宋体" w:cs="Times New Roman"/>
                <w:kern w:val="0"/>
                <w:sz w:val="24"/>
              </w:rPr>
              <w:t>—附加A声级衰减量dB，A</w:t>
            </w:r>
            <w:r>
              <w:rPr>
                <w:rFonts w:hint="default" w:ascii="Times New Roman" w:hAnsi="Times New Roman" w:eastAsia="宋体" w:cs="Times New Roman"/>
                <w:kern w:val="0"/>
                <w:sz w:val="24"/>
                <w:vertAlign w:val="subscript"/>
              </w:rPr>
              <w:t>exc</w:t>
            </w:r>
            <w:r>
              <w:rPr>
                <w:rFonts w:hint="default" w:ascii="Times New Roman" w:hAnsi="Times New Roman" w:eastAsia="宋体" w:cs="Times New Roman"/>
                <w:kern w:val="0"/>
                <w:sz w:val="24"/>
              </w:rPr>
              <w:t>=51</w:t>
            </w:r>
            <w:r>
              <w:rPr>
                <w:rFonts w:hint="default" w:ascii="Times New Roman" w:hAnsi="Times New Roman" w:eastAsia="宋体" w:cs="Times New Roman"/>
                <w:kern w:val="0"/>
                <w:sz w:val="24"/>
              </w:rPr>
              <w:drawing>
                <wp:inline distT="0" distB="0" distL="114300" distR="114300">
                  <wp:extent cx="175260" cy="198120"/>
                  <wp:effectExtent l="0" t="0" r="0" b="12065"/>
                  <wp:docPr id="6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4"/>
                          <pic:cNvPicPr>
                            <a:picLocks noChangeAspect="1"/>
                          </pic:cNvPicPr>
                        </pic:nvPicPr>
                        <pic:blipFill>
                          <a:blip r:embed="rId16"/>
                          <a:stretch>
                            <a:fillRect/>
                          </a:stretch>
                        </pic:blipFill>
                        <pic:spPr>
                          <a:xfrm>
                            <a:off x="0" y="0"/>
                            <a:ext cx="175260" cy="198120"/>
                          </a:xfrm>
                          <a:prstGeom prst="rect">
                            <a:avLst/>
                          </a:prstGeom>
                          <a:noFill/>
                          <a:ln>
                            <a:noFill/>
                          </a:ln>
                        </pic:spPr>
                      </pic:pic>
                    </a:graphicData>
                  </a:graphic>
                </wp:inline>
              </w:drawing>
            </w:r>
            <w:r>
              <w:rPr>
                <w:rFonts w:hint="default" w:ascii="Times New Roman" w:hAnsi="Times New Roman" w:eastAsia="宋体" w:cs="Times New Roman"/>
                <w:kern w:val="0"/>
                <w:sz w:val="24"/>
              </w:rPr>
              <w:t>（r-r</w:t>
            </w:r>
            <w:r>
              <w:rPr>
                <w:rFonts w:hint="default" w:ascii="Times New Roman" w:hAnsi="Times New Roman" w:eastAsia="宋体" w:cs="Times New Roman"/>
                <w:kern w:val="0"/>
                <w:sz w:val="24"/>
                <w:vertAlign w:val="subscript"/>
              </w:rPr>
              <w:t>0</w:t>
            </w:r>
            <w:r>
              <w:rPr>
                <w:rFonts w:hint="default" w:ascii="Times New Roman" w:hAnsi="Times New Roman" w:eastAsia="宋体" w:cs="Times New Roman"/>
                <w:kern w:val="0"/>
                <w:sz w:val="24"/>
              </w:rPr>
              <w:t>）。</w:t>
            </w:r>
          </w:p>
          <w:p>
            <w:pPr>
              <w:pStyle w:val="34"/>
              <w:adjustRightInd/>
              <w:snapToGrid/>
              <w:spacing w:line="240" w:lineRule="auto"/>
              <w:outlineLvl w:val="4"/>
              <w:rPr>
                <w:rFonts w:hint="default" w:ascii="Times New Roman" w:hAnsi="Times New Roman" w:eastAsia="宋体" w:cs="Times New Roman"/>
                <w:caps w:val="0"/>
                <w:color w:val="000000"/>
                <w:kern w:val="0"/>
              </w:rPr>
            </w:pPr>
            <w:r>
              <w:rPr>
                <w:rFonts w:hint="default" w:ascii="Times New Roman" w:hAnsi="Times New Roman" w:eastAsia="宋体" w:cs="Times New Roman"/>
                <w:caps w:val="0"/>
                <w:color w:val="000000"/>
                <w:kern w:val="0"/>
              </w:rPr>
              <w:t>表4-</w:t>
            </w:r>
            <w:r>
              <w:rPr>
                <w:rFonts w:hint="eastAsia" w:ascii="Times New Roman" w:hAnsi="Times New Roman" w:eastAsia="宋体" w:cs="Times New Roman"/>
                <w:caps w:val="0"/>
                <w:color w:val="000000"/>
                <w:kern w:val="0"/>
                <w:lang w:val="en-US" w:eastAsia="zh-CN"/>
              </w:rPr>
              <w:t>8</w:t>
            </w:r>
            <w:r>
              <w:rPr>
                <w:rFonts w:hint="default" w:ascii="Times New Roman" w:hAnsi="Times New Roman" w:eastAsia="宋体" w:cs="Times New Roman"/>
                <w:caps w:val="0"/>
                <w:color w:val="000000"/>
                <w:kern w:val="0"/>
              </w:rPr>
              <w:t xml:space="preserve"> 噪声影响预测结果一览表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033"/>
              <w:gridCol w:w="1527"/>
              <w:gridCol w:w="1527"/>
              <w:gridCol w:w="1527"/>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48" w:type="pct"/>
                  <w:vAlign w:val="center"/>
                </w:tcPr>
                <w:p>
                  <w:pPr>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贡献值</w:t>
                  </w:r>
                </w:p>
              </w:tc>
              <w:tc>
                <w:tcPr>
                  <w:tcW w:w="937" w:type="pct"/>
                  <w:vAlign w:val="center"/>
                </w:tcPr>
                <w:p>
                  <w:pPr>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东厂界</w:t>
                  </w:r>
                </w:p>
              </w:tc>
              <w:tc>
                <w:tcPr>
                  <w:tcW w:w="937" w:type="pct"/>
                  <w:vAlign w:val="center"/>
                </w:tcPr>
                <w:p>
                  <w:pPr>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西厂界</w:t>
                  </w:r>
                </w:p>
              </w:tc>
              <w:tc>
                <w:tcPr>
                  <w:tcW w:w="937" w:type="pct"/>
                  <w:vAlign w:val="center"/>
                </w:tcPr>
                <w:p>
                  <w:pPr>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南厂界</w:t>
                  </w:r>
                </w:p>
              </w:tc>
              <w:tc>
                <w:tcPr>
                  <w:tcW w:w="938" w:type="pct"/>
                  <w:vAlign w:val="center"/>
                </w:tcPr>
                <w:p>
                  <w:pPr>
                    <w:jc w:val="center"/>
                    <w:rPr>
                      <w:rFonts w:hint="default" w:ascii="Times New Roman" w:hAnsi="Times New Roman" w:eastAsia="宋体" w:cs="Times New Roman"/>
                      <w:b/>
                      <w:bCs/>
                      <w:color w:val="000000"/>
                      <w:kern w:val="0"/>
                      <w:szCs w:val="21"/>
                    </w:rPr>
                  </w:pPr>
                  <w:r>
                    <w:rPr>
                      <w:rFonts w:hint="default" w:ascii="Times New Roman" w:hAnsi="Times New Roman" w:eastAsia="宋体" w:cs="Times New Roman"/>
                      <w:b/>
                      <w:bCs/>
                      <w:color w:val="000000"/>
                      <w:kern w:val="0"/>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48" w:type="pct"/>
                  <w:vAlign w:val="center"/>
                </w:tcPr>
                <w:p>
                  <w:pPr>
                    <w:jc w:val="center"/>
                    <w:rPr>
                      <w:rFonts w:hint="default" w:ascii="Times New Roman" w:hAnsi="Times New Roman" w:eastAsia="宋体" w:cs="Times New Roman"/>
                      <w:color w:val="000000"/>
                      <w:kern w:val="0"/>
                      <w:szCs w:val="21"/>
                    </w:rPr>
                  </w:pPr>
                  <w:bookmarkStart w:id="4" w:name="_Hlk322356205"/>
                  <w:r>
                    <w:rPr>
                      <w:rFonts w:hint="default" w:ascii="Times New Roman" w:hAnsi="Times New Roman" w:eastAsia="宋体" w:cs="Times New Roman"/>
                      <w:color w:val="000000"/>
                      <w:kern w:val="0"/>
                      <w:szCs w:val="21"/>
                    </w:rPr>
                    <w:t>dB（A）</w:t>
                  </w:r>
                </w:p>
              </w:tc>
              <w:tc>
                <w:tcPr>
                  <w:tcW w:w="1527" w:type="dxa"/>
                  <w:vAlign w:val="center"/>
                </w:tcPr>
                <w:p>
                  <w:pPr>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42.63</w:t>
                  </w:r>
                </w:p>
              </w:tc>
              <w:tc>
                <w:tcPr>
                  <w:tcW w:w="1527" w:type="dxa"/>
                  <w:vAlign w:val="center"/>
                </w:tcPr>
                <w:p>
                  <w:pPr>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50</w:t>
                  </w:r>
                </w:p>
              </w:tc>
              <w:tc>
                <w:tcPr>
                  <w:tcW w:w="1527" w:type="dxa"/>
                  <w:vAlign w:val="center"/>
                </w:tcPr>
                <w:p>
                  <w:pPr>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41.57</w:t>
                  </w:r>
                </w:p>
              </w:tc>
              <w:tc>
                <w:tcPr>
                  <w:tcW w:w="1529" w:type="dxa"/>
                  <w:vAlign w:val="center"/>
                </w:tcPr>
                <w:p>
                  <w:pPr>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44.51</w:t>
                  </w:r>
                </w:p>
              </w:tc>
            </w:tr>
            <w:bookmarkEnd w:id="4"/>
          </w:tbl>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项目噪声主要来自设备生产运行产生的噪声，项目采取设备基础减震、厂房隔声和合理布置等降噪措施，噪声经过衰减后，昼间噪声值≤60dB（A），可以满足《工业企业厂界环境噪声排放标准》（GB12348-2008）中2类标准。</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综上所述，项目运行产生的噪声对区域声环境影响较小。</w:t>
            </w:r>
          </w:p>
          <w:p>
            <w:pPr>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（3）全厂噪声监测计划</w:t>
            </w:r>
          </w:p>
          <w:p>
            <w:pPr>
              <w:pStyle w:val="34"/>
              <w:adjustRightInd/>
              <w:snapToGrid/>
              <w:spacing w:line="240" w:lineRule="auto"/>
              <w:outlineLvl w:val="4"/>
              <w:rPr>
                <w:rFonts w:hint="default" w:ascii="Times New Roman" w:hAnsi="Times New Roman" w:eastAsia="宋体" w:cs="Times New Roman"/>
                <w:caps w:val="0"/>
                <w:kern w:val="0"/>
              </w:rPr>
            </w:pPr>
            <w:r>
              <w:rPr>
                <w:rFonts w:hint="default" w:ascii="Times New Roman" w:hAnsi="Times New Roman" w:eastAsia="宋体" w:cs="Times New Roman"/>
                <w:caps w:val="0"/>
                <w:kern w:val="0"/>
              </w:rPr>
              <w:t>表4-</w:t>
            </w:r>
            <w:r>
              <w:rPr>
                <w:rFonts w:hint="eastAsia" w:ascii="Times New Roman" w:hAnsi="Times New Roman" w:eastAsia="宋体" w:cs="Times New Roman"/>
                <w:caps w:val="0"/>
                <w:kern w:val="0"/>
                <w:lang w:val="en-US" w:eastAsia="zh-CN"/>
              </w:rPr>
              <w:t>9</w:t>
            </w:r>
            <w:r>
              <w:rPr>
                <w:rFonts w:hint="default" w:ascii="Times New Roman" w:hAnsi="Times New Roman" w:eastAsia="宋体" w:cs="Times New Roman"/>
                <w:caps w:val="0"/>
                <w:kern w:val="0"/>
              </w:rPr>
              <w:t xml:space="preserve"> 噪声监测要求</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61"/>
              <w:gridCol w:w="3699"/>
              <w:gridCol w:w="2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3" w:type="dxa"/>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监测点位</w:t>
                  </w:r>
                </w:p>
              </w:tc>
              <w:tc>
                <w:tcPr>
                  <w:tcW w:w="3604" w:type="dxa"/>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监测项目</w:t>
                  </w:r>
                </w:p>
              </w:tc>
              <w:tc>
                <w:tcPr>
                  <w:tcW w:w="2129" w:type="dxa"/>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3"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厂界外1m处</w:t>
                  </w:r>
                </w:p>
              </w:tc>
              <w:tc>
                <w:tcPr>
                  <w:tcW w:w="3604"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w:t>
                  </w:r>
                </w:p>
              </w:tc>
              <w:tc>
                <w:tcPr>
                  <w:tcW w:w="2129"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每季度一次</w:t>
                  </w:r>
                </w:p>
              </w:tc>
            </w:tr>
          </w:tbl>
          <w:p>
            <w:pPr>
              <w:adjustRightInd w:val="0"/>
              <w:snapToGrid w:val="0"/>
              <w:spacing w:line="360" w:lineRule="auto"/>
              <w:rPr>
                <w:rFonts w:hint="default" w:ascii="Times New Roman" w:hAnsi="Times New Roman" w:eastAsia="宋体" w:cs="Times New Roman"/>
                <w:bCs/>
                <w:kern w:val="0"/>
                <w:sz w:val="24"/>
              </w:rPr>
            </w:pPr>
            <w:r>
              <w:rPr>
                <w:rFonts w:hint="default" w:ascii="Times New Roman" w:hAnsi="Times New Roman" w:eastAsia="宋体" w:cs="Times New Roman"/>
                <w:b/>
                <w:kern w:val="0"/>
                <w:sz w:val="24"/>
              </w:rPr>
              <w:t>4、固体废物</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（1）固体废物产生情况</w:t>
            </w:r>
          </w:p>
          <w:p>
            <w:pPr>
              <w:adjustRightInd w:val="0"/>
              <w:snapToGrid w:val="0"/>
              <w:spacing w:line="360" w:lineRule="auto"/>
              <w:ind w:firstLine="480" w:firstLineChars="200"/>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固体废物主要为一般固废和危险废物。其中一般工业固废为下料过程产生的下脚料、检验过程产生的不合格产品</w:t>
            </w:r>
            <w:r>
              <w:rPr>
                <w:rFonts w:hint="eastAsia" w:ascii="Times New Roman" w:hAnsi="Times New Roman" w:eastAsia="宋体" w:cs="Times New Roman"/>
                <w:kern w:val="0"/>
                <w:sz w:val="24"/>
                <w:lang w:eastAsia="zh-CN"/>
              </w:rPr>
              <w:t>（</w:t>
            </w:r>
            <w:r>
              <w:rPr>
                <w:rFonts w:hint="eastAsia" w:cs="Times New Roman"/>
                <w:kern w:val="0"/>
                <w:sz w:val="24"/>
                <w:lang w:val="en-US" w:eastAsia="zh-CN"/>
              </w:rPr>
              <w:t>300-005-08</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，下料、包装过程产生的废包装材料</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300-005-07</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，清洁过程产生的沉淀污泥</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462-001-61</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，清洁过程产生的废擦布</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170-001-01</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；危险废物主要为设备维修维护过程产生的含油废抹布（HW49，900-041-49）、废油桶（HW08，900-212-08）以及废气处理过程产生的废活性炭（HW49，900-039-49）。</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color w:val="000000"/>
                <w:kern w:val="0"/>
                <w:sz w:val="24"/>
              </w:rPr>
              <w:t>1）</w:t>
            </w:r>
            <w:r>
              <w:rPr>
                <w:rFonts w:hint="default" w:ascii="Times New Roman" w:hAnsi="Times New Roman" w:eastAsia="宋体" w:cs="Times New Roman"/>
                <w:kern w:val="0"/>
                <w:sz w:val="24"/>
              </w:rPr>
              <w:t>下料过程产生的下脚料、检验过程产生的不合格产品</w:t>
            </w:r>
            <w:r>
              <w:rPr>
                <w:rFonts w:hint="eastAsia" w:ascii="Times New Roman" w:hAnsi="Times New Roman" w:eastAsia="宋体" w:cs="Times New Roman"/>
                <w:kern w:val="0"/>
                <w:sz w:val="24"/>
                <w:lang w:eastAsia="zh-CN"/>
              </w:rPr>
              <w:t>（</w:t>
            </w:r>
            <w:r>
              <w:rPr>
                <w:rFonts w:hint="eastAsia" w:cs="Times New Roman"/>
                <w:kern w:val="0"/>
                <w:sz w:val="24"/>
                <w:lang w:val="en-US" w:eastAsia="zh-CN"/>
              </w:rPr>
              <w:t>300-005-08</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：下料工序会产生一定量的下脚料、检测工序会产生一定量的不合格产品，产生量为3t/a，属于一般固体废物，暂存于一般固废暂存区，由玻璃管生产厂家定期回收。</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val="en-US" w:eastAsia="zh-CN"/>
              </w:rPr>
              <w:t>2</w:t>
            </w:r>
            <w:r>
              <w:rPr>
                <w:rFonts w:hint="default" w:ascii="Times New Roman" w:hAnsi="Times New Roman" w:eastAsia="宋体" w:cs="Times New Roman"/>
                <w:kern w:val="0"/>
                <w:sz w:val="24"/>
              </w:rPr>
              <w:t>）下料、包装过程产生的废包装材料</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300-005-07</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color w:val="000000"/>
                <w:kern w:val="0"/>
                <w:sz w:val="24"/>
              </w:rPr>
              <w:t>：下料过程原料拆包、包装工序会产生废包装材料，主要为废纸壳、废底纸、废纸箱，产生量为1t/a，属于一般固体废物，</w:t>
            </w:r>
            <w:r>
              <w:rPr>
                <w:rFonts w:hint="default" w:ascii="Times New Roman" w:hAnsi="Times New Roman" w:eastAsia="宋体" w:cs="Times New Roman"/>
                <w:kern w:val="0"/>
                <w:sz w:val="24"/>
              </w:rPr>
              <w:t>暂存于一般固废暂存区，</w:t>
            </w:r>
            <w:r>
              <w:rPr>
                <w:rFonts w:hint="default" w:ascii="Times New Roman" w:hAnsi="Times New Roman" w:eastAsia="宋体" w:cs="Times New Roman"/>
                <w:color w:val="000000"/>
                <w:kern w:val="0"/>
                <w:sz w:val="24"/>
              </w:rPr>
              <w:t>外售综合</w:t>
            </w:r>
            <w:r>
              <w:rPr>
                <w:rFonts w:hint="default" w:ascii="Times New Roman" w:hAnsi="Times New Roman" w:eastAsia="宋体" w:cs="Times New Roman"/>
                <w:kern w:val="0"/>
                <w:sz w:val="24"/>
              </w:rPr>
              <w:t>利用。</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val="en-US" w:eastAsia="zh-CN"/>
              </w:rPr>
              <w:t>3</w:t>
            </w:r>
            <w:r>
              <w:rPr>
                <w:rFonts w:hint="default" w:ascii="Times New Roman" w:hAnsi="Times New Roman" w:eastAsia="宋体" w:cs="Times New Roman"/>
                <w:kern w:val="0"/>
                <w:sz w:val="24"/>
              </w:rPr>
              <w:t>）清洁过程产生的沉淀污泥</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462-001-61</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：清洁工序清洗用水沉淀过程产生一定量的污泥，产生量为0.002t/a，属于一般固废，暂存于厂区垃圾桶内，由环卫部门定期清运。</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val="en-US" w:eastAsia="zh-CN"/>
              </w:rPr>
              <w:t>4</w:t>
            </w:r>
            <w:r>
              <w:rPr>
                <w:rFonts w:hint="default" w:ascii="Times New Roman" w:hAnsi="Times New Roman" w:eastAsia="宋体" w:cs="Times New Roman"/>
                <w:kern w:val="0"/>
                <w:sz w:val="24"/>
              </w:rPr>
              <w:t>）清洁过程产生的废擦布</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170-001-01</w:t>
            </w:r>
            <w:r>
              <w:rPr>
                <w:rFonts w:hint="eastAsia" w:ascii="Times New Roman" w:hAnsi="Times New Roman" w:eastAsia="宋体" w:cs="Times New Roman"/>
                <w:kern w:val="0"/>
                <w:sz w:val="24"/>
                <w:lang w:eastAsia="zh-CN"/>
              </w:rPr>
              <w:t>）</w:t>
            </w:r>
            <w:r>
              <w:rPr>
                <w:rFonts w:hint="default" w:ascii="Times New Roman" w:hAnsi="Times New Roman" w:eastAsia="宋体" w:cs="Times New Roman"/>
                <w:kern w:val="0"/>
                <w:sz w:val="24"/>
              </w:rPr>
              <w:t>：清洁工序擦杯机表面清洁过程会产生一定的废擦布，产生量约0.02t/a，属于一般固废，暂存于厂区垃圾桶内，由环卫部门定期清运。</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val="en-US" w:eastAsia="zh-CN"/>
              </w:rPr>
              <w:t>5</w:t>
            </w:r>
            <w:r>
              <w:rPr>
                <w:rFonts w:hint="default" w:ascii="Times New Roman" w:hAnsi="Times New Roman" w:eastAsia="宋体" w:cs="Times New Roman"/>
                <w:kern w:val="0"/>
                <w:sz w:val="24"/>
              </w:rPr>
              <w:t>）含油废抹布（HW49，900-041-49）：部分设备需涂抹机油润滑，机油年用量约为0.01t，产生的废机油用抹布清理，含油废抹布产生量约为0.02t/a，根据《国家危险废物名录》（2016版）附录“危险废物豁免管理清单”，含油废抹布全部环节豁免，豁免条件为混入生活垃圾处理，全过程不按危险废物管理，含油废抹布存放在厂区内垃圾桶，定期由环卫部门统一处理。</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val="en-US" w:eastAsia="zh-CN"/>
              </w:rPr>
              <w:t>6</w:t>
            </w:r>
            <w:r>
              <w:rPr>
                <w:rFonts w:hint="default" w:ascii="Times New Roman" w:hAnsi="Times New Roman" w:eastAsia="宋体" w:cs="Times New Roman"/>
                <w:kern w:val="0"/>
                <w:sz w:val="24"/>
              </w:rPr>
              <w:t>）废油桶（HW08，900-249-08）：</w:t>
            </w:r>
            <w:r>
              <w:rPr>
                <w:rFonts w:hint="default" w:ascii="Times New Roman" w:hAnsi="Times New Roman" w:eastAsia="宋体" w:cs="Times New Roman"/>
                <w:kern w:val="0"/>
                <w:sz w:val="24"/>
                <w:lang w:eastAsia="zh-CN"/>
              </w:rPr>
              <w:t>设备维修维护所需</w:t>
            </w:r>
            <w:r>
              <w:rPr>
                <w:rFonts w:hint="default" w:ascii="Times New Roman" w:hAnsi="Times New Roman" w:eastAsia="宋体" w:cs="Times New Roman"/>
                <w:kern w:val="0"/>
                <w:sz w:val="24"/>
              </w:rPr>
              <w:t>润滑油由设备厂家维修维护时提供，企业不暂存，维修维护过程中废润滑油桶产生量为5个/a，储存于危废暂存间，委托具有危险废物处理资质的单位处理。</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lang w:eastAsia="zh-CN"/>
              </w:rPr>
              <w:t>技改</w:t>
            </w:r>
            <w:r>
              <w:rPr>
                <w:rFonts w:hint="default" w:ascii="Times New Roman" w:hAnsi="Times New Roman" w:eastAsia="宋体" w:cs="Times New Roman"/>
                <w:kern w:val="0"/>
                <w:sz w:val="24"/>
              </w:rPr>
              <w:t>项目固体废物的产生及控制方案见表4-9。</w:t>
            </w:r>
          </w:p>
          <w:p>
            <w:pPr>
              <w:pStyle w:val="34"/>
              <w:spacing w:line="240" w:lineRule="auto"/>
              <w:outlineLvl w:val="4"/>
              <w:rPr>
                <w:rFonts w:hint="default" w:ascii="Times New Roman" w:hAnsi="Times New Roman" w:eastAsia="宋体" w:cs="Times New Roman"/>
                <w:caps w:val="0"/>
                <w:kern w:val="0"/>
              </w:rPr>
            </w:pPr>
            <w:r>
              <w:rPr>
                <w:rFonts w:hint="default" w:ascii="Times New Roman" w:hAnsi="Times New Roman" w:eastAsia="宋体" w:cs="Times New Roman"/>
                <w:caps w:val="0"/>
                <w:kern w:val="0"/>
              </w:rPr>
              <w:t>表4-</w:t>
            </w:r>
            <w:r>
              <w:rPr>
                <w:rFonts w:hint="eastAsia" w:ascii="Times New Roman" w:hAnsi="Times New Roman" w:eastAsia="宋体" w:cs="Times New Roman"/>
                <w:caps w:val="0"/>
                <w:kern w:val="0"/>
                <w:lang w:val="en-US" w:eastAsia="zh-CN"/>
              </w:rPr>
              <w:t>10</w:t>
            </w:r>
            <w:r>
              <w:rPr>
                <w:rFonts w:hint="default" w:ascii="Times New Roman" w:hAnsi="Times New Roman" w:eastAsia="宋体" w:cs="Times New Roman"/>
                <w:caps w:val="0"/>
                <w:kern w:val="0"/>
              </w:rPr>
              <w:t xml:space="preserve"> 固体废物的产生及控制方案一览表</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0"/>
              <w:gridCol w:w="1411"/>
              <w:gridCol w:w="1072"/>
              <w:gridCol w:w="803"/>
              <w:gridCol w:w="536"/>
              <w:gridCol w:w="583"/>
              <w:gridCol w:w="665"/>
              <w:gridCol w:w="427"/>
              <w:gridCol w:w="870"/>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2"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产生环节</w:t>
                  </w:r>
                </w:p>
              </w:tc>
              <w:tc>
                <w:tcPr>
                  <w:tcW w:w="866"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固体废物名称</w:t>
                  </w:r>
                </w:p>
              </w:tc>
              <w:tc>
                <w:tcPr>
                  <w:tcW w:w="658"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固废属性</w:t>
                  </w:r>
                </w:p>
              </w:tc>
              <w:tc>
                <w:tcPr>
                  <w:tcW w:w="493" w:type="pct"/>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kern w:val="0"/>
                      <w:szCs w:val="21"/>
                      <w:lang w:bidi="ar"/>
                    </w:rPr>
                    <w:t>有害成分</w:t>
                  </w:r>
                </w:p>
              </w:tc>
              <w:tc>
                <w:tcPr>
                  <w:tcW w:w="329"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物理性状</w:t>
                  </w:r>
                </w:p>
              </w:tc>
              <w:tc>
                <w:tcPr>
                  <w:tcW w:w="358"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环境危险性</w:t>
                  </w:r>
                </w:p>
              </w:tc>
              <w:tc>
                <w:tcPr>
                  <w:tcW w:w="408"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年度产生量（t/a）</w:t>
                  </w:r>
                </w:p>
              </w:tc>
              <w:tc>
                <w:tcPr>
                  <w:tcW w:w="262"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贮存方式</w:t>
                  </w:r>
                </w:p>
              </w:tc>
              <w:tc>
                <w:tcPr>
                  <w:tcW w:w="533"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利用处置方向和去向</w:t>
                  </w:r>
                </w:p>
              </w:tc>
              <w:tc>
                <w:tcPr>
                  <w:tcW w:w="534" w:type="pct"/>
                  <w:vAlign w:val="center"/>
                </w:tcPr>
                <w:p>
                  <w:pPr>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下料、检验</w:t>
                  </w:r>
                </w:p>
              </w:tc>
              <w:tc>
                <w:tcPr>
                  <w:tcW w:w="86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下脚料、不合格产品</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300-005-08</w:t>
                  </w:r>
                  <w:r>
                    <w:rPr>
                      <w:rFonts w:hint="default" w:ascii="Times New Roman" w:hAnsi="Times New Roman" w:eastAsia="宋体" w:cs="Times New Roman"/>
                      <w:kern w:val="0"/>
                      <w:szCs w:val="21"/>
                      <w:lang w:eastAsia="zh-CN"/>
                    </w:rPr>
                    <w:t>）</w:t>
                  </w:r>
                </w:p>
              </w:tc>
              <w:tc>
                <w:tcPr>
                  <w:tcW w:w="6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一般固废</w:t>
                  </w:r>
                </w:p>
              </w:tc>
              <w:tc>
                <w:tcPr>
                  <w:tcW w:w="49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32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固态</w:t>
                  </w:r>
                </w:p>
              </w:tc>
              <w:tc>
                <w:tcPr>
                  <w:tcW w:w="3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40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53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收集后玻璃管厂家回收</w:t>
                  </w:r>
                </w:p>
              </w:tc>
              <w:tc>
                <w:tcPr>
                  <w:tcW w:w="53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trPr>
              <w:tc>
                <w:tcPr>
                  <w:tcW w:w="5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下料</w:t>
                  </w:r>
                  <w:r>
                    <w:rPr>
                      <w:rFonts w:hint="eastAsia" w:cs="Times New Roman"/>
                      <w:kern w:val="0"/>
                      <w:szCs w:val="21"/>
                      <w:lang w:eastAsia="zh-CN"/>
                    </w:rPr>
                    <w:t>、</w:t>
                  </w:r>
                  <w:r>
                    <w:rPr>
                      <w:rFonts w:hint="default" w:ascii="Times New Roman" w:hAnsi="Times New Roman" w:eastAsia="宋体" w:cs="Times New Roman"/>
                      <w:kern w:val="0"/>
                      <w:szCs w:val="21"/>
                    </w:rPr>
                    <w:t>包装</w:t>
                  </w:r>
                </w:p>
              </w:tc>
              <w:tc>
                <w:tcPr>
                  <w:tcW w:w="86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废包装材料</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300-005-07</w:t>
                  </w:r>
                  <w:r>
                    <w:rPr>
                      <w:rFonts w:hint="default" w:ascii="Times New Roman" w:hAnsi="Times New Roman" w:eastAsia="宋体" w:cs="Times New Roman"/>
                      <w:kern w:val="0"/>
                      <w:szCs w:val="21"/>
                      <w:lang w:eastAsia="zh-CN"/>
                    </w:rPr>
                    <w:t>）</w:t>
                  </w:r>
                </w:p>
              </w:tc>
              <w:tc>
                <w:tcPr>
                  <w:tcW w:w="6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一般固废</w:t>
                  </w:r>
                </w:p>
              </w:tc>
              <w:tc>
                <w:tcPr>
                  <w:tcW w:w="49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32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固态</w:t>
                  </w:r>
                </w:p>
              </w:tc>
              <w:tc>
                <w:tcPr>
                  <w:tcW w:w="3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40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53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收集后外售</w:t>
                  </w:r>
                </w:p>
              </w:tc>
              <w:tc>
                <w:tcPr>
                  <w:tcW w:w="53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清洁过程</w:t>
                  </w:r>
                </w:p>
              </w:tc>
              <w:tc>
                <w:tcPr>
                  <w:tcW w:w="86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污泥</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462-001-61</w:t>
                  </w:r>
                  <w:r>
                    <w:rPr>
                      <w:rFonts w:hint="default" w:ascii="Times New Roman" w:hAnsi="Times New Roman" w:eastAsia="宋体" w:cs="Times New Roman"/>
                      <w:kern w:val="0"/>
                      <w:szCs w:val="21"/>
                      <w:lang w:eastAsia="zh-CN"/>
                    </w:rPr>
                    <w:t>）</w:t>
                  </w:r>
                </w:p>
              </w:tc>
              <w:tc>
                <w:tcPr>
                  <w:tcW w:w="6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一般固废</w:t>
                  </w:r>
                </w:p>
              </w:tc>
              <w:tc>
                <w:tcPr>
                  <w:tcW w:w="49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32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固态</w:t>
                  </w:r>
                </w:p>
              </w:tc>
              <w:tc>
                <w:tcPr>
                  <w:tcW w:w="3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40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w:t>
                  </w:r>
                  <w:r>
                    <w:rPr>
                      <w:rFonts w:hint="default" w:ascii="Times New Roman" w:hAnsi="Times New Roman" w:eastAsia="宋体" w:cs="Times New Roman"/>
                      <w:kern w:val="0"/>
                      <w:szCs w:val="21"/>
                      <w:lang w:val="en-US" w:eastAsia="zh-CN"/>
                    </w:rPr>
                    <w:t>0</w:t>
                  </w:r>
                  <w:r>
                    <w:rPr>
                      <w:rFonts w:hint="default" w:ascii="Times New Roman" w:hAnsi="Times New Roman" w:eastAsia="宋体" w:cs="Times New Roman"/>
                      <w:kern w:val="0"/>
                      <w:szCs w:val="21"/>
                    </w:rPr>
                    <w:t>2</w:t>
                  </w:r>
                </w:p>
              </w:tc>
              <w:tc>
                <w:tcPr>
                  <w:tcW w:w="2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53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环卫部门定期清运</w:t>
                  </w:r>
                </w:p>
              </w:tc>
              <w:tc>
                <w:tcPr>
                  <w:tcW w:w="53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w:t>
                  </w:r>
                  <w:r>
                    <w:rPr>
                      <w:rFonts w:hint="default" w:ascii="Times New Roman" w:hAnsi="Times New Roman" w:eastAsia="宋体" w:cs="Times New Roman"/>
                      <w:kern w:val="0"/>
                      <w:szCs w:val="21"/>
                      <w:lang w:val="en-US" w:eastAsia="zh-CN"/>
                    </w:rPr>
                    <w:t>0</w:t>
                  </w:r>
                  <w:r>
                    <w:rPr>
                      <w:rFonts w:hint="default" w:ascii="Times New Roman" w:hAnsi="Times New Roman" w:eastAsia="宋体" w:cs="Times New Roman"/>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清洁过程</w:t>
                  </w:r>
                </w:p>
              </w:tc>
              <w:tc>
                <w:tcPr>
                  <w:tcW w:w="86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废擦布</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170-001-01</w:t>
                  </w:r>
                  <w:r>
                    <w:rPr>
                      <w:rFonts w:hint="default" w:ascii="Times New Roman" w:hAnsi="Times New Roman" w:eastAsia="宋体" w:cs="Times New Roman"/>
                      <w:kern w:val="0"/>
                      <w:szCs w:val="21"/>
                      <w:lang w:eastAsia="zh-CN"/>
                    </w:rPr>
                    <w:t>）</w:t>
                  </w:r>
                </w:p>
              </w:tc>
              <w:tc>
                <w:tcPr>
                  <w:tcW w:w="6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一般固废</w:t>
                  </w:r>
                </w:p>
              </w:tc>
              <w:tc>
                <w:tcPr>
                  <w:tcW w:w="49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32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固态</w:t>
                  </w:r>
                </w:p>
              </w:tc>
              <w:tc>
                <w:tcPr>
                  <w:tcW w:w="3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40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0.02</w:t>
                  </w:r>
                </w:p>
              </w:tc>
              <w:tc>
                <w:tcPr>
                  <w:tcW w:w="2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53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环卫部门定期清运</w:t>
                  </w:r>
                </w:p>
              </w:tc>
              <w:tc>
                <w:tcPr>
                  <w:tcW w:w="53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保养维护</w:t>
                  </w:r>
                </w:p>
              </w:tc>
              <w:tc>
                <w:tcPr>
                  <w:tcW w:w="86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含油废抹布</w:t>
                  </w:r>
                </w:p>
              </w:tc>
              <w:tc>
                <w:tcPr>
                  <w:tcW w:w="6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危险废物900-041-49</w:t>
                  </w:r>
                </w:p>
              </w:tc>
              <w:tc>
                <w:tcPr>
                  <w:tcW w:w="49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有机废物</w:t>
                  </w:r>
                </w:p>
              </w:tc>
              <w:tc>
                <w:tcPr>
                  <w:tcW w:w="32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固态</w:t>
                  </w:r>
                </w:p>
              </w:tc>
              <w:tc>
                <w:tcPr>
                  <w:tcW w:w="3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T，I</w:t>
                  </w:r>
                </w:p>
              </w:tc>
              <w:tc>
                <w:tcPr>
                  <w:tcW w:w="40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0.02</w:t>
                  </w:r>
                </w:p>
              </w:tc>
              <w:tc>
                <w:tcPr>
                  <w:tcW w:w="2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53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环卫部门定期清运</w:t>
                  </w:r>
                </w:p>
              </w:tc>
              <w:tc>
                <w:tcPr>
                  <w:tcW w:w="53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5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保养维护</w:t>
                  </w:r>
                </w:p>
              </w:tc>
              <w:tc>
                <w:tcPr>
                  <w:tcW w:w="866"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废油桶</w:t>
                  </w:r>
                </w:p>
              </w:tc>
              <w:tc>
                <w:tcPr>
                  <w:tcW w:w="65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危险废物900-249-08</w:t>
                  </w:r>
                </w:p>
              </w:tc>
              <w:tc>
                <w:tcPr>
                  <w:tcW w:w="49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有机废物</w:t>
                  </w:r>
                </w:p>
              </w:tc>
              <w:tc>
                <w:tcPr>
                  <w:tcW w:w="329"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固态</w:t>
                  </w:r>
                </w:p>
              </w:tc>
              <w:tc>
                <w:tcPr>
                  <w:tcW w:w="358" w:type="pct"/>
                  <w:vAlign w:val="center"/>
                </w:tcPr>
                <w:p>
                  <w:pPr>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T/In</w:t>
                  </w:r>
                </w:p>
              </w:tc>
              <w:tc>
                <w:tcPr>
                  <w:tcW w:w="40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5个</w:t>
                  </w:r>
                </w:p>
              </w:tc>
              <w:tc>
                <w:tcPr>
                  <w:tcW w:w="262"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53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暂存于危废暂存间内，委托具有危险废物处理资质的单位进行处理处置</w:t>
                  </w:r>
                </w:p>
              </w:tc>
              <w:tc>
                <w:tcPr>
                  <w:tcW w:w="534"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5个</w:t>
                  </w:r>
                </w:p>
              </w:tc>
            </w:tr>
          </w:tbl>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（2）环境管理要求</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1）固废贮存、处置要求</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一般固废处置符合《一般工业固体废物贮存和填埋污染控制标准》（GB 18599-2020）；危险废物处置符合《危险废物贮存污染控制标准》（GB18597-2001）及其修改单要求。</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与此同时企业还应做好以下防范措施：</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①安排专人每天对产生的生活垃圾进行清运。</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②对生产过程中产生的废料进行单独收集，尽量做到循环利用，不外排。</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③进行垃圾分类收集，对可再利用的资源进行回收。</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④用循环经济理论指导企业的运营与管理，建立生态型企业，减少废弃物的产生，最大限度节约和回收资源。</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⑤制定严格的垃圾收集、存放、外运规定，由专人负责，采用封闭的存放和外运措施，防止飞扬、异味和运输过程中的遗洒。</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危险废物贮存场所基本情况见表4-10。</w:t>
            </w:r>
          </w:p>
          <w:p>
            <w:pPr>
              <w:pStyle w:val="34"/>
              <w:spacing w:line="240" w:lineRule="auto"/>
              <w:outlineLvl w:val="4"/>
              <w:rPr>
                <w:rFonts w:hint="default" w:ascii="Times New Roman" w:hAnsi="Times New Roman" w:eastAsia="宋体" w:cs="Times New Roman"/>
                <w:caps w:val="0"/>
                <w:kern w:val="0"/>
              </w:rPr>
            </w:pPr>
            <w:r>
              <w:rPr>
                <w:rFonts w:hint="default" w:ascii="Times New Roman" w:hAnsi="Times New Roman" w:eastAsia="宋体" w:cs="Times New Roman"/>
                <w:caps w:val="0"/>
                <w:kern w:val="0"/>
              </w:rPr>
              <w:t>表4-1</w:t>
            </w:r>
            <w:r>
              <w:rPr>
                <w:rFonts w:hint="eastAsia" w:ascii="Times New Roman" w:hAnsi="Times New Roman" w:eastAsia="宋体" w:cs="Times New Roman"/>
                <w:caps w:val="0"/>
                <w:kern w:val="0"/>
                <w:lang w:val="en-US" w:eastAsia="zh-CN"/>
              </w:rPr>
              <w:t>1</w:t>
            </w:r>
            <w:r>
              <w:rPr>
                <w:rFonts w:hint="default" w:ascii="Times New Roman" w:hAnsi="Times New Roman" w:eastAsia="宋体" w:cs="Times New Roman"/>
                <w:caps w:val="0"/>
                <w:kern w:val="0"/>
              </w:rPr>
              <w:t xml:space="preserve"> 建设项目危险废物贮存场所基本情况表</w:t>
            </w:r>
          </w:p>
          <w:tbl>
            <w:tblPr>
              <w:tblStyle w:val="18"/>
              <w:tblW w:w="493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142"/>
              <w:gridCol w:w="887"/>
              <w:gridCol w:w="1300"/>
              <w:gridCol w:w="491"/>
              <w:gridCol w:w="666"/>
              <w:gridCol w:w="1083"/>
              <w:gridCol w:w="740"/>
              <w:gridCol w:w="6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9"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贮存场所（设施）名称</w:t>
                  </w:r>
                </w:p>
              </w:tc>
              <w:tc>
                <w:tcPr>
                  <w:tcW w:w="710"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危险废物名称</w:t>
                  </w:r>
                </w:p>
              </w:tc>
              <w:tc>
                <w:tcPr>
                  <w:tcW w:w="551"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危险废物类别</w:t>
                  </w:r>
                </w:p>
              </w:tc>
              <w:tc>
                <w:tcPr>
                  <w:tcW w:w="808"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危险废物代码</w:t>
                  </w:r>
                </w:p>
              </w:tc>
              <w:tc>
                <w:tcPr>
                  <w:tcW w:w="305"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位置</w:t>
                  </w:r>
                </w:p>
              </w:tc>
              <w:tc>
                <w:tcPr>
                  <w:tcW w:w="414"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占地面积</w:t>
                  </w:r>
                </w:p>
              </w:tc>
              <w:tc>
                <w:tcPr>
                  <w:tcW w:w="673"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贮存方式</w:t>
                  </w:r>
                </w:p>
              </w:tc>
              <w:tc>
                <w:tcPr>
                  <w:tcW w:w="460"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贮存</w:t>
                  </w:r>
                </w:p>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能力</w:t>
                  </w:r>
                </w:p>
              </w:tc>
              <w:tc>
                <w:tcPr>
                  <w:tcW w:w="425" w:type="pct"/>
                  <w:vAlign w:val="center"/>
                </w:tcPr>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贮存</w:t>
                  </w:r>
                </w:p>
                <w:p>
                  <w:pPr>
                    <w:topLinePunct/>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9" w:type="pct"/>
                  <w:vAlign w:val="center"/>
                </w:tcPr>
                <w:p>
                  <w:pPr>
                    <w:topLinePunct/>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危废暂存间</w:t>
                  </w:r>
                </w:p>
              </w:tc>
              <w:tc>
                <w:tcPr>
                  <w:tcW w:w="710"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废油桶</w:t>
                  </w:r>
                </w:p>
              </w:tc>
              <w:tc>
                <w:tcPr>
                  <w:tcW w:w="551"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HW08</w:t>
                  </w:r>
                </w:p>
              </w:tc>
              <w:tc>
                <w:tcPr>
                  <w:tcW w:w="808"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900-249-08</w:t>
                  </w:r>
                </w:p>
              </w:tc>
              <w:tc>
                <w:tcPr>
                  <w:tcW w:w="305" w:type="pct"/>
                  <w:vAlign w:val="center"/>
                </w:tcPr>
                <w:p>
                  <w:pPr>
                    <w:topLinePunct/>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厂区西南角</w:t>
                  </w:r>
                </w:p>
              </w:tc>
              <w:tc>
                <w:tcPr>
                  <w:tcW w:w="414" w:type="pct"/>
                  <w:vAlign w:val="center"/>
                </w:tcPr>
                <w:p>
                  <w:pPr>
                    <w:topLinePunct/>
                    <w:adjustRightInd w:val="0"/>
                    <w:snapToGrid w:val="0"/>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6</w:t>
                  </w:r>
                  <w:r>
                    <w:rPr>
                      <w:rFonts w:hint="default" w:ascii="Times New Roman" w:hAnsi="Times New Roman" w:eastAsia="宋体" w:cs="Times New Roman"/>
                      <w:kern w:val="0"/>
                      <w:szCs w:val="21"/>
                    </w:rPr>
                    <w:t>m</w:t>
                  </w:r>
                  <w:r>
                    <w:rPr>
                      <w:rFonts w:hint="default" w:ascii="Times New Roman" w:hAnsi="Times New Roman" w:eastAsia="宋体" w:cs="Times New Roman"/>
                      <w:kern w:val="0"/>
                      <w:szCs w:val="21"/>
                      <w:vertAlign w:val="superscript"/>
                    </w:rPr>
                    <w:t>2</w:t>
                  </w:r>
                </w:p>
              </w:tc>
              <w:tc>
                <w:tcPr>
                  <w:tcW w:w="673" w:type="pct"/>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整齐分类摆放</w:t>
                  </w:r>
                </w:p>
              </w:tc>
              <w:tc>
                <w:tcPr>
                  <w:tcW w:w="460" w:type="pct"/>
                  <w:tcBorders>
                    <w:bottom w:val="single" w:color="000000" w:sz="4" w:space="0"/>
                  </w:tcBorders>
                  <w:vAlign w:val="center"/>
                </w:tcPr>
                <w:p>
                  <w:pPr>
                    <w:jc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10</w:t>
                  </w:r>
                  <w:r>
                    <w:rPr>
                      <w:rFonts w:hint="default" w:ascii="Times New Roman" w:hAnsi="Times New Roman" w:eastAsia="宋体" w:cs="Times New Roman"/>
                      <w:kern w:val="0"/>
                      <w:szCs w:val="21"/>
                    </w:rPr>
                    <w:t>个</w:t>
                  </w:r>
                </w:p>
              </w:tc>
              <w:tc>
                <w:tcPr>
                  <w:tcW w:w="425" w:type="pct"/>
                  <w:tcBorders>
                    <w:bottom w:val="single" w:color="000000" w:sz="4" w:space="0"/>
                  </w:tcBorders>
                  <w:vAlign w:val="center"/>
                </w:tcPr>
                <w:p>
                  <w:pPr>
                    <w:topLinePunct/>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1年</w:t>
                  </w:r>
                </w:p>
              </w:tc>
            </w:tr>
          </w:tbl>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2）危废库建设和台账管理的要求</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危险废物暂存库应严格按照《危险废物贮存污染控制标准》（GB18597-2001）及其修改单的要求设计，采取防渗措施，贮存设施建有堵截泄漏的裙脚，地面与裙脚用坚固的防渗材料建造，并建有防风、防晒、防雨、防渗漏等设施。危险废物贮存场所应当设置危险废物警告标志。贮存容器选用符合国家标准的耐腐蚀、不易破损、变形和老化的容器，并按规定在贮存危险废物的容器上贴上标签，详细注明危险废物的名称、重量、成分、特性以及发生泄漏事故时的应急措施和补救办法。</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建设单位必须按照《危险废物产生单位管理计划制定指南》的规定，制定危险废物管理计划，原则上管理计划按年度制定，并存档5年以上。同时要结合自身的实际情况，与生产记录相衔接，建立危险废物台账，如实记载产生危险废物的种类、数量、流向、贮存、利用处置等信息。</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综上所述，</w:t>
            </w:r>
            <w:r>
              <w:rPr>
                <w:rFonts w:hint="default" w:ascii="Times New Roman" w:hAnsi="Times New Roman" w:eastAsia="宋体" w:cs="Times New Roman"/>
                <w:kern w:val="0"/>
                <w:sz w:val="24"/>
                <w:lang w:eastAsia="zh-CN"/>
              </w:rPr>
              <w:t>技改</w:t>
            </w:r>
            <w:r>
              <w:rPr>
                <w:rFonts w:hint="default" w:ascii="Times New Roman" w:hAnsi="Times New Roman" w:eastAsia="宋体" w:cs="Times New Roman"/>
                <w:kern w:val="0"/>
                <w:sz w:val="24"/>
              </w:rPr>
              <w:t>项目生产过程中所产生的固体废物均可得到妥善处理，建设单位在解决好其排放去向并及时清运的前提下，对周围环境质量影响较小。</w:t>
            </w:r>
          </w:p>
          <w:p>
            <w:pPr>
              <w:adjustRightInd w:val="0"/>
              <w:snapToGrid w:val="0"/>
              <w:spacing w:line="360" w:lineRule="auto"/>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5、地下水、土壤</w:t>
            </w:r>
          </w:p>
          <w:p>
            <w:pPr>
              <w:adjustRightInd w:val="0"/>
              <w:snapToGrid w:val="0"/>
              <w:spacing w:line="360" w:lineRule="auto"/>
              <w:ind w:firstLine="480" w:firstLineChars="200"/>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lang w:eastAsia="zh-CN"/>
              </w:rPr>
              <w:t>技改</w:t>
            </w:r>
            <w:r>
              <w:rPr>
                <w:rFonts w:hint="default" w:ascii="Times New Roman" w:hAnsi="Times New Roman" w:eastAsia="宋体" w:cs="Times New Roman"/>
                <w:kern w:val="0"/>
                <w:sz w:val="24"/>
              </w:rPr>
              <w:t>项目位于文昌湖区萌水镇萌二村，不属于地下水水源地补给区。为防止项目建成运营后对周围地下水、土壤环境造成污染，企业应加强对生产设施的管理和维护；制定环境管理制度，强化风险防范意识，加强环境保护工作。</w:t>
            </w:r>
          </w:p>
          <w:p>
            <w:pPr>
              <w:autoSpaceDE w:val="0"/>
              <w:autoSpaceDN w:val="0"/>
              <w:adjustRightInd w:val="0"/>
              <w:snapToGrid w:val="0"/>
              <w:ind w:firstLine="482" w:firstLineChars="200"/>
              <w:jc w:val="center"/>
              <w:rPr>
                <w:rFonts w:hint="default" w:ascii="Times New Roman" w:hAnsi="Times New Roman" w:eastAsia="宋体" w:cs="Times New Roman"/>
                <w:kern w:val="0"/>
                <w:sz w:val="24"/>
              </w:rPr>
            </w:pPr>
            <w:r>
              <w:rPr>
                <w:rFonts w:hint="default" w:ascii="Times New Roman" w:hAnsi="Times New Roman" w:eastAsia="宋体" w:cs="Times New Roman"/>
                <w:b/>
                <w:kern w:val="0"/>
                <w:sz w:val="24"/>
              </w:rPr>
              <w:t>表4-1</w:t>
            </w:r>
            <w:r>
              <w:rPr>
                <w:rFonts w:hint="eastAsia" w:ascii="Times New Roman" w:hAnsi="Times New Roman" w:eastAsia="宋体" w:cs="Times New Roman"/>
                <w:b/>
                <w:kern w:val="0"/>
                <w:sz w:val="24"/>
                <w:lang w:val="en-US" w:eastAsia="zh-CN"/>
              </w:rPr>
              <w:t>2</w:t>
            </w:r>
            <w:r>
              <w:rPr>
                <w:rFonts w:hint="default" w:ascii="Times New Roman" w:hAnsi="Times New Roman" w:eastAsia="宋体" w:cs="Times New Roman"/>
                <w:b/>
                <w:kern w:val="0"/>
                <w:sz w:val="24"/>
              </w:rPr>
              <w:t xml:space="preserve"> 污染影响敏感程度分级表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1600"/>
              <w:gridCol w:w="4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6" w:type="pct"/>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防渗分区</w:t>
                  </w:r>
                </w:p>
              </w:tc>
              <w:tc>
                <w:tcPr>
                  <w:tcW w:w="982" w:type="pct"/>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厂区分布</w:t>
                  </w:r>
                </w:p>
              </w:tc>
              <w:tc>
                <w:tcPr>
                  <w:tcW w:w="2881" w:type="pct"/>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防渗等级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6"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简单污染防治区</w:t>
                  </w:r>
                </w:p>
              </w:tc>
              <w:tc>
                <w:tcPr>
                  <w:tcW w:w="982"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办公区</w:t>
                  </w:r>
                </w:p>
              </w:tc>
              <w:tc>
                <w:tcPr>
                  <w:tcW w:w="2881"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6"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一般污染防治区</w:t>
                  </w:r>
                </w:p>
              </w:tc>
              <w:tc>
                <w:tcPr>
                  <w:tcW w:w="982"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生产车间、一般固废暂存区</w:t>
                  </w:r>
                </w:p>
              </w:tc>
              <w:tc>
                <w:tcPr>
                  <w:tcW w:w="2881"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地面防渗自上而下：①水泥砂浆结合层一道；②100mm厚c15混凝土随打随抹光；③3:7水泥土夯实。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136"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重点污染防治区</w:t>
                  </w:r>
                </w:p>
              </w:tc>
              <w:tc>
                <w:tcPr>
                  <w:tcW w:w="982" w:type="pct"/>
                  <w:vAlign w:val="center"/>
                </w:tcPr>
                <w:p>
                  <w:pPr>
                    <w:adjustRightInd w:val="0"/>
                    <w:snapToGrid w:val="0"/>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液体物料暂存区、危废暂存间</w:t>
                  </w:r>
                  <w:r>
                    <w:rPr>
                      <w:rFonts w:hint="default" w:ascii="Times New Roman" w:hAnsi="Times New Roman" w:eastAsia="宋体" w:cs="Times New Roman"/>
                      <w:kern w:val="0"/>
                      <w:szCs w:val="21"/>
                      <w:lang w:eastAsia="zh-CN"/>
                    </w:rPr>
                    <w:t>、旱厕</w:t>
                  </w:r>
                </w:p>
              </w:tc>
              <w:tc>
                <w:tcPr>
                  <w:tcW w:w="2881" w:type="pc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10cm厚抗渗混凝土硬化，渗透系数小于1×10</w:t>
                  </w:r>
                  <w:r>
                    <w:rPr>
                      <w:rFonts w:hint="default" w:ascii="Times New Roman" w:hAnsi="Times New Roman" w:eastAsia="宋体" w:cs="Times New Roman"/>
                      <w:kern w:val="0"/>
                      <w:szCs w:val="21"/>
                      <w:vertAlign w:val="superscript"/>
                    </w:rPr>
                    <w:t>-7</w:t>
                  </w:r>
                  <w:r>
                    <w:rPr>
                      <w:rFonts w:hint="default" w:ascii="Times New Roman" w:hAnsi="Times New Roman" w:eastAsia="宋体" w:cs="Times New Roman"/>
                      <w:kern w:val="0"/>
                      <w:szCs w:val="21"/>
                    </w:rPr>
                    <w:t>cm/s。</w:t>
                  </w:r>
                </w:p>
              </w:tc>
            </w:tr>
          </w:tbl>
          <w:p>
            <w:pPr>
              <w:pStyle w:val="32"/>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项目运行期间，在各防渗措施按照要求严格落实情况下，正常工况下不存在土壤、地下水环境污染途径，基本不会对地下水、土壤环境造成不利影响小。</w:t>
            </w:r>
          </w:p>
          <w:p>
            <w:pPr>
              <w:adjustRightInd w:val="0"/>
              <w:snapToGrid w:val="0"/>
              <w:spacing w:line="360" w:lineRule="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6、生态</w:t>
            </w:r>
          </w:p>
          <w:p>
            <w:pPr>
              <w:pStyle w:val="32"/>
              <w:adjustRightInd w:val="0"/>
              <w:snapToGrid w:val="0"/>
              <w:spacing w:line="360" w:lineRule="auto"/>
              <w:ind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color w:val="auto"/>
                <w:spacing w:val="0"/>
                <w:kern w:val="0"/>
                <w:position w:val="0"/>
                <w:sz w:val="24"/>
                <w:szCs w:val="24"/>
                <w:highlight w:val="none"/>
                <w:shd w:val="clear" w:color="auto" w:fill="auto"/>
                <w:lang w:val="en-US" w:eastAsia="zh-CN" w:bidi="ar-SA"/>
              </w:rPr>
              <w:t>技改项目</w:t>
            </w:r>
            <w:r>
              <w:rPr>
                <w:rFonts w:hint="default" w:ascii="Times New Roman" w:hAnsi="Times New Roman" w:eastAsia="宋体" w:cs="Times New Roman"/>
                <w:color w:val="auto"/>
                <w:spacing w:val="0"/>
                <w:kern w:val="0"/>
                <w:position w:val="0"/>
                <w:sz w:val="24"/>
                <w:szCs w:val="24"/>
                <w:highlight w:val="none"/>
                <w:shd w:val="clear" w:color="auto" w:fill="auto"/>
                <w:lang w:val="en-US" w:eastAsia="zh-CN" w:bidi="ar-SA"/>
              </w:rPr>
              <w:t>建成后全厂</w:t>
            </w:r>
            <w:r>
              <w:rPr>
                <w:rFonts w:hint="default" w:ascii="Times New Roman" w:hAnsi="Times New Roman" w:eastAsia="宋体" w:cs="Times New Roman"/>
                <w:kern w:val="0"/>
                <w:sz w:val="24"/>
                <w:szCs w:val="32"/>
                <w:lang w:val="en-US" w:eastAsia="zh-CN"/>
              </w:rPr>
              <w:t>用地范围内不存在生态环境保护目标。营运期产生污染物较少，在采取有效防护措施后，对周围环境影响较小，对生态环境造成的危害较小</w:t>
            </w:r>
            <w:r>
              <w:rPr>
                <w:rFonts w:hint="default" w:ascii="Times New Roman" w:hAnsi="Times New Roman" w:eastAsia="宋体" w:cs="Times New Roman"/>
                <w:kern w:val="0"/>
                <w:sz w:val="24"/>
              </w:rPr>
              <w:t>。</w:t>
            </w:r>
          </w:p>
          <w:p>
            <w:pPr>
              <w:adjustRightInd w:val="0"/>
              <w:snapToGrid w:val="0"/>
              <w:spacing w:line="360" w:lineRule="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7、环境风险</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（1）环境风险物质</w:t>
            </w:r>
          </w:p>
          <w:p>
            <w:pPr>
              <w:adjustRightInd w:val="0"/>
              <w:snapToGrid w:val="0"/>
              <w:spacing w:line="360" w:lineRule="auto"/>
              <w:ind w:firstLine="480" w:firstLineChars="200"/>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rPr>
              <w:t>参照《建设项目环境风险评价技术导则》（HJ169-2018），</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使用的液氧及液化石油气属于风险物质，危险物质一览表见下表。</w:t>
            </w:r>
          </w:p>
          <w:p>
            <w:pPr>
              <w:autoSpaceDE w:val="0"/>
              <w:autoSpaceDN w:val="0"/>
              <w:adjustRightInd w:val="0"/>
              <w:snapToGrid w:val="0"/>
              <w:ind w:firstLine="482" w:firstLineChars="200"/>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表4-1</w:t>
            </w:r>
            <w:r>
              <w:rPr>
                <w:rFonts w:hint="eastAsia" w:ascii="Times New Roman" w:hAnsi="Times New Roman" w:eastAsia="宋体" w:cs="Times New Roman"/>
                <w:b/>
                <w:kern w:val="0"/>
                <w:sz w:val="24"/>
                <w:lang w:val="en-US" w:eastAsia="zh-CN"/>
              </w:rPr>
              <w:t>3</w:t>
            </w:r>
            <w:r>
              <w:rPr>
                <w:rFonts w:hint="default" w:ascii="Times New Roman" w:hAnsi="Times New Roman" w:eastAsia="宋体" w:cs="Times New Roman"/>
                <w:b/>
                <w:kern w:val="0"/>
                <w:sz w:val="24"/>
              </w:rPr>
              <w:t xml:space="preserve"> </w:t>
            </w:r>
            <w:r>
              <w:rPr>
                <w:rFonts w:hint="eastAsia" w:ascii="Times New Roman" w:hAnsi="Times New Roman" w:eastAsia="宋体" w:cs="Times New Roman"/>
                <w:b/>
                <w:kern w:val="0"/>
                <w:sz w:val="24"/>
                <w:lang w:eastAsia="zh-CN"/>
              </w:rPr>
              <w:t>技改项目</w:t>
            </w:r>
            <w:r>
              <w:rPr>
                <w:rFonts w:hint="default" w:ascii="Times New Roman" w:hAnsi="Times New Roman" w:eastAsia="宋体" w:cs="Times New Roman"/>
                <w:b/>
                <w:kern w:val="0"/>
                <w:sz w:val="24"/>
              </w:rPr>
              <w:t>危险物质数量与临界量比值辨识结果一览表</w:t>
            </w:r>
          </w:p>
          <w:tbl>
            <w:tblPr>
              <w:tblStyle w:val="1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3746"/>
              <w:gridCol w:w="1766"/>
              <w:gridCol w:w="1478"/>
              <w:gridCol w:w="11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jc w:val="center"/>
              </w:trPr>
              <w:tc>
                <w:tcPr>
                  <w:tcW w:w="2302" w:type="pct"/>
                  <w:tcBorders>
                    <w:tl2br w:val="nil"/>
                    <w:tr2bl w:val="nil"/>
                  </w:tcBorders>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物质</w:t>
                  </w:r>
                </w:p>
              </w:tc>
              <w:tc>
                <w:tcPr>
                  <w:tcW w:w="1085" w:type="pct"/>
                  <w:tcBorders>
                    <w:tl2br w:val="nil"/>
                    <w:tr2bl w:val="nil"/>
                  </w:tcBorders>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q最大存贮量，t</w:t>
                  </w:r>
                </w:p>
              </w:tc>
              <w:tc>
                <w:tcPr>
                  <w:tcW w:w="908" w:type="pct"/>
                  <w:tcBorders>
                    <w:tl2br w:val="nil"/>
                    <w:tr2bl w:val="nil"/>
                  </w:tcBorders>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Q临界量，t</w:t>
                  </w:r>
                </w:p>
              </w:tc>
              <w:tc>
                <w:tcPr>
                  <w:tcW w:w="704" w:type="pct"/>
                  <w:tcBorders>
                    <w:tl2br w:val="nil"/>
                    <w:tr2bl w:val="nil"/>
                  </w:tcBorders>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q/Q</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jc w:val="center"/>
              </w:trPr>
              <w:tc>
                <w:tcPr>
                  <w:tcW w:w="2302"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液氧</w:t>
                  </w:r>
                </w:p>
              </w:tc>
              <w:tc>
                <w:tcPr>
                  <w:tcW w:w="1085"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0.5</w:t>
                  </w:r>
                </w:p>
              </w:tc>
              <w:tc>
                <w:tcPr>
                  <w:tcW w:w="908"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200</w:t>
                  </w:r>
                </w:p>
              </w:tc>
              <w:tc>
                <w:tcPr>
                  <w:tcW w:w="704"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jc w:val="center"/>
              </w:trPr>
              <w:tc>
                <w:tcPr>
                  <w:tcW w:w="2302"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液化石油气</w:t>
                  </w:r>
                </w:p>
              </w:tc>
              <w:tc>
                <w:tcPr>
                  <w:tcW w:w="1085"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w:t>
                  </w:r>
                </w:p>
              </w:tc>
              <w:tc>
                <w:tcPr>
                  <w:tcW w:w="908"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w:t>
                  </w:r>
                </w:p>
              </w:tc>
              <w:tc>
                <w:tcPr>
                  <w:tcW w:w="704"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jc w:val="center"/>
              </w:trPr>
              <w:tc>
                <w:tcPr>
                  <w:tcW w:w="2302" w:type="pct"/>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总计</w:t>
                  </w:r>
                </w:p>
              </w:tc>
              <w:tc>
                <w:tcPr>
                  <w:tcW w:w="2697" w:type="pct"/>
                  <w:gridSpan w:val="3"/>
                  <w:tcBorders>
                    <w:tl2br w:val="nil"/>
                    <w:tr2bl w:val="nil"/>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0.0085</w:t>
                  </w:r>
                </w:p>
              </w:tc>
            </w:tr>
          </w:tbl>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综上，项目危险物质存储量未超过临界量。</w:t>
            </w:r>
          </w:p>
          <w:p>
            <w:pPr>
              <w:adjustRightInd w:val="0"/>
              <w:snapToGrid w:val="0"/>
              <w:spacing w:line="360" w:lineRule="auto"/>
              <w:ind w:firstLine="482" w:firstLine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（2）风险源分布及影响途径</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生产中涉及的原材料中液化石油气易燃易爆；纸箱可燃；液氧是易燃物、可燃物燃烧爆炸的基本要素之一，与易燃物（如乙炔、甲烷等）形成有爆炸性的混合物；项目在运营期使用的机械设备都是利用电能，如果管理不善、操作不当等，易引发火灾爆炸事故，火灾爆炸事故引发的伴生/次生污染可导致对周边大气环境的烟气污染、CO污染和热辐射，产生的消防废水及泄漏的液体物料，若处理不当将会污染水环境及土壤环境。</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①环境空气影响</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火灾燃烧过程中所产生的大气污染物主要有CO、碳氢化合物、炭黑离子和飞灰等，若不及时采取合理措施处置，会影响环境空气质量，并且烟尘中存在大量粒径小于10μm的颗粒，容易通过呼吸系统或皮肤进入人体，对人体构成伤害。</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②地下水、土壤环境影响</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在使用灭火剂、消防水消灭火灾的过程中，燃烧产生的有害物质及泄漏的液体物料，会随消防水散落在厂区内，如不能完全收集将会污染周边地表水环境，加之防渗措施不当，进入土壤环境，甚至下渗到地下水环境中，将对地下水、土壤环境造成长期的危害。</w:t>
            </w:r>
          </w:p>
          <w:p>
            <w:pPr>
              <w:adjustRightInd w:val="0"/>
              <w:snapToGrid w:val="0"/>
              <w:spacing w:line="360" w:lineRule="auto"/>
              <w:ind w:left="420" w:leftChars="20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（3）环境风险防范措施及应急要求</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1）项目存在发生火灾的危险，在生产过程中需做出相应的防范措施。</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a）消除和控制明火源：在车间内，设置醒目的严禁烟火标志，严禁动火吸烟；进入危险区的机动车辆，其排气管应戴防火帽；进入危险区的人员，按规定登记，严禁携带火柴、打火机等；使用气焊、电焊等设备时，采取防护措施，确保安全无误后，方可动火作业。动火过程中，必须遵守安全技术规程。</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b）按照《建筑灭火器配置设计规范》（GB50140-2005）规定，配置相应类型和数量的灭火器（干粉灭火器等），并在火灾危险场所设置报警装置。消防器材应当设置在明显和便于取用的地点，周围不准堆放物品和杂物。车间的消防设施、器材应当由专人管理，负责检查、维修、保养、更换和添置，保证完好有效，严禁圈占、埋压和挪用。对消防器材应当经常进行检查，保持完整好用。</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建成后会根据实际情况配备相应的灭火器材，满足消防的需求。</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（c）原料和产品的使用、储存、运输、管理要按照国家标准和要求，进行设计、施工、运行，设置卫生应急措施，减少对环境、人员产生影响。</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d）总图布置严格执行国家有关部门现行的设计规范、规定及标准。各生产装置之间严格按防火防爆间距布置，厂房及建筑物按规定等级设计。根据车间（工序）生产过程中火灾危险等级及毒物危害程度分级进行分类、分区布置。合理划分管理区、工艺生产区、辅助生产区及储运设施区，各区按其危害程度采取相应的安全防范措施进行管理。合理组织人流和货流，结合交通、消防的需要，装置区周围设置环形消防道，以满足工艺流程、厂内外运输、检修及生产管理的要求。</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（e）电气和仪表专业设计按照《爆炸危险环境电力装置设计规范》</w:t>
            </w:r>
            <w:r>
              <w:rPr>
                <w:rFonts w:hint="eastAsia" w:cs="Times New Roman"/>
                <w:kern w:val="0"/>
                <w:sz w:val="24"/>
                <w:lang w:eastAsia="zh-CN"/>
              </w:rPr>
              <w:t>（</w:t>
            </w:r>
            <w:r>
              <w:rPr>
                <w:rFonts w:hint="default" w:ascii="Times New Roman" w:hAnsi="Times New Roman" w:eastAsia="宋体" w:cs="Times New Roman"/>
                <w:kern w:val="0"/>
                <w:sz w:val="24"/>
              </w:rPr>
              <w:t>GB5008-2014）执行，按规范设置配电设施，并采用密闭电器。采取有效措施防止电气线路和电气设施在开关断开、接触不良、短路、漏电时产生火花，防止静电放电火花；采取防雷接地措施，防止雷电放电火花。电器线路定期检修，及时更换老化、电线裸露设备。</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2）环境风险事故应急预案</w:t>
            </w:r>
          </w:p>
          <w:p>
            <w:pPr>
              <w:adjustRightInd w:val="0"/>
              <w:snapToGrid w:val="0"/>
              <w:ind w:firstLine="482" w:firstLineChars="200"/>
              <w:jc w:val="center"/>
              <w:textAlignment w:val="baseline"/>
              <w:rPr>
                <w:rFonts w:hint="default" w:ascii="Times New Roman" w:hAnsi="Times New Roman" w:eastAsia="宋体" w:cs="Times New Roman"/>
                <w:bCs/>
                <w:kern w:val="0"/>
                <w:sz w:val="24"/>
              </w:rPr>
            </w:pPr>
            <w:r>
              <w:rPr>
                <w:rFonts w:hint="default" w:ascii="Times New Roman" w:hAnsi="Times New Roman" w:eastAsia="宋体" w:cs="Times New Roman"/>
                <w:b/>
                <w:kern w:val="0"/>
                <w:sz w:val="24"/>
              </w:rPr>
              <w:t>表4-1</w:t>
            </w:r>
            <w:r>
              <w:rPr>
                <w:rFonts w:hint="eastAsia" w:ascii="Times New Roman" w:hAnsi="Times New Roman" w:eastAsia="宋体" w:cs="Times New Roman"/>
                <w:b/>
                <w:kern w:val="0"/>
                <w:sz w:val="24"/>
                <w:lang w:val="en-US" w:eastAsia="zh-CN"/>
              </w:rPr>
              <w:t>4</w:t>
            </w:r>
            <w:r>
              <w:rPr>
                <w:rFonts w:hint="default" w:ascii="Times New Roman" w:hAnsi="Times New Roman" w:eastAsia="宋体" w:cs="Times New Roman"/>
                <w:b/>
                <w:kern w:val="0"/>
                <w:sz w:val="24"/>
              </w:rPr>
              <w:t xml:space="preserve"> 项目应急预案一览表</w:t>
            </w:r>
          </w:p>
          <w:tbl>
            <w:tblPr>
              <w:tblStyle w:val="18"/>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730"/>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序号</w:t>
                  </w:r>
                </w:p>
              </w:tc>
              <w:tc>
                <w:tcPr>
                  <w:tcW w:w="2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项目</w:t>
                  </w:r>
                </w:p>
              </w:tc>
              <w:tc>
                <w:tcPr>
                  <w:tcW w:w="45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应急组织机构、人员</w:t>
                  </w:r>
                </w:p>
              </w:tc>
              <w:tc>
                <w:tcPr>
                  <w:tcW w:w="45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设立事故应急机构，人员由企业主要领导、安全负责人、环保负责人等主要人员组成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应急救援</w:t>
                  </w:r>
                </w:p>
              </w:tc>
              <w:tc>
                <w:tcPr>
                  <w:tcW w:w="45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企业应配备必要的应急设施及设备和器材；事故易发的工作岗位配备必需的防护用品等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报警、通讯联络方式</w:t>
                  </w:r>
                </w:p>
              </w:tc>
              <w:tc>
                <w:tcPr>
                  <w:tcW w:w="45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建立专用的报警和通讯线路，并保持其畅通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应急环境监测、抢救、救援及控制措施</w:t>
                  </w:r>
                </w:p>
              </w:tc>
              <w:tc>
                <w:tcPr>
                  <w:tcW w:w="45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发生事故时，要保证现场的事故处理设施和全厂的应急处理系统能够紧急启动，并对事故产生的污染物进行有效地控制，同时启动当地的环境应急监测系统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2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应急监测、防护措施、清除泄漏措施和器材</w:t>
                  </w:r>
                </w:p>
              </w:tc>
              <w:tc>
                <w:tcPr>
                  <w:tcW w:w="45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设立必要的控制和清除污染的相应措施。事故发生时，要及时发现事故发生地点和环节，并利用已有的防护措施减少污染物的排放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2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应急培训计划</w:t>
                  </w:r>
                </w:p>
              </w:tc>
              <w:tc>
                <w:tcPr>
                  <w:tcW w:w="45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企业要注意日产工作中对事故应急处理的培训，以提高职工的安全防范意识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27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公众教育和信息</w:t>
                  </w:r>
                </w:p>
              </w:tc>
              <w:tc>
                <w:tcPr>
                  <w:tcW w:w="45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通过各种方式，对周围居民等进行事故防范宣传</w:t>
                  </w:r>
                </w:p>
              </w:tc>
            </w:tr>
          </w:tbl>
          <w:p>
            <w:pPr>
              <w:adjustRightInd w:val="0"/>
              <w:snapToGrid w:val="0"/>
              <w:spacing w:line="360" w:lineRule="auto"/>
              <w:ind w:left="420" w:leftChars="200"/>
              <w:rPr>
                <w:rFonts w:hint="default" w:ascii="Times New Roman" w:hAnsi="Times New Roman" w:eastAsia="宋体" w:cs="Times New Roman"/>
                <w:b/>
                <w:bCs/>
                <w:kern w:val="0"/>
                <w:sz w:val="24"/>
                <w:lang w:eastAsia="zh-CN"/>
              </w:rPr>
            </w:pPr>
            <w:r>
              <w:rPr>
                <w:rFonts w:hint="default" w:ascii="Times New Roman" w:hAnsi="Times New Roman" w:eastAsia="宋体" w:cs="Times New Roman"/>
                <w:b/>
                <w:bCs/>
                <w:kern w:val="0"/>
                <w:sz w:val="24"/>
              </w:rPr>
              <w:t>（4）分析结论</w:t>
            </w: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企业在生产过程中须加强防范措施并完善风险应急预案，切实防范火灾、爆炸等环境风险事故的发生，企业在严格按照风险防范措施处理情况下，</w:t>
            </w: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的环境风险是可控的。</w:t>
            </w:r>
          </w:p>
          <w:p>
            <w:pPr>
              <w:adjustRightInd w:val="0"/>
              <w:snapToGrid w:val="0"/>
              <w:spacing w:line="360" w:lineRule="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8、</w:t>
            </w:r>
            <w:r>
              <w:rPr>
                <w:rFonts w:hint="default" w:ascii="Times New Roman" w:hAnsi="Times New Roman" w:eastAsia="宋体" w:cs="Times New Roman"/>
                <w:b/>
                <w:kern w:val="0"/>
                <w:sz w:val="24"/>
              </w:rPr>
              <w:t>电磁辐射</w:t>
            </w:r>
          </w:p>
          <w:p>
            <w:pPr>
              <w:adjustRightInd w:val="0"/>
              <w:snapToGrid w:val="0"/>
              <w:spacing w:line="360" w:lineRule="auto"/>
              <w:ind w:firstLine="480" w:firstLineChars="200"/>
              <w:rPr>
                <w:rFonts w:hint="default"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技改项目</w:t>
            </w:r>
            <w:r>
              <w:rPr>
                <w:rFonts w:hint="default" w:ascii="Times New Roman" w:hAnsi="Times New Roman" w:eastAsia="宋体" w:cs="Times New Roman"/>
                <w:kern w:val="0"/>
                <w:sz w:val="24"/>
              </w:rPr>
              <w:t>不属于广播电台、差转台、电视塔台、卫星地球上行站、雷达等电磁辐射类项目，本评价不再开展电磁环境影响分析</w:t>
            </w:r>
            <w:r>
              <w:rPr>
                <w:rFonts w:hint="default" w:ascii="Times New Roman" w:hAnsi="Times New Roman" w:eastAsia="宋体" w:cs="Times New Roman"/>
                <w:kern w:val="0"/>
                <w:sz w:val="24"/>
                <w:lang w:eastAsia="zh-CN"/>
              </w:rPr>
              <w:t>。</w:t>
            </w:r>
          </w:p>
          <w:p>
            <w:pPr>
              <w:pStyle w:val="10"/>
              <w:keepNext w:val="0"/>
              <w:keepLines w:val="0"/>
              <w:pageBreakBefore w:val="0"/>
              <w:widowControl w:val="0"/>
              <w:numPr>
                <w:ilvl w:val="0"/>
                <w:numId w:val="7"/>
              </w:numPr>
              <w:kinsoku/>
              <w:wordWrap/>
              <w:overflowPunct/>
              <w:topLinePunct w:val="0"/>
              <w:autoSpaceDE/>
              <w:autoSpaceDN/>
              <w:bidi w:val="0"/>
              <w:adjustRightInd w:val="0"/>
              <w:snapToGrid/>
              <w:spacing w:line="360" w:lineRule="auto"/>
              <w:ind w:left="0" w:leftChars="0" w:firstLine="0" w:firstLineChars="0"/>
              <w:textAlignment w:val="baseline"/>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以新带老</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现有项目于201</w:t>
            </w:r>
            <w:r>
              <w:rPr>
                <w:rFonts w:hint="default" w:ascii="Times New Roman" w:hAnsi="Times New Roman" w:eastAsia="宋体" w:cs="Times New Roman"/>
                <w:kern w:val="0"/>
                <w:sz w:val="24"/>
                <w:szCs w:val="24"/>
                <w:lang w:val="en-US" w:eastAsia="zh-CN"/>
              </w:rPr>
              <w:t>7</w:t>
            </w:r>
            <w:r>
              <w:rPr>
                <w:rFonts w:hint="default" w:ascii="Times New Roman" w:hAnsi="Times New Roman" w:eastAsia="宋体" w:cs="Times New Roman"/>
                <w:kern w:val="0"/>
                <w:sz w:val="24"/>
                <w:szCs w:val="24"/>
              </w:rPr>
              <w:t>年</w:t>
            </w:r>
            <w:r>
              <w:rPr>
                <w:rFonts w:hint="default" w:ascii="Times New Roman" w:hAnsi="Times New Roman" w:eastAsia="宋体" w:cs="Times New Roman"/>
                <w:kern w:val="0"/>
                <w:sz w:val="24"/>
                <w:szCs w:val="24"/>
                <w:lang w:val="en-US" w:eastAsia="zh-CN"/>
              </w:rPr>
              <w:t>7</w:t>
            </w:r>
            <w:r>
              <w:rPr>
                <w:rFonts w:hint="default" w:ascii="Times New Roman" w:hAnsi="Times New Roman" w:eastAsia="宋体" w:cs="Times New Roman"/>
                <w:kern w:val="0"/>
                <w:sz w:val="24"/>
                <w:szCs w:val="24"/>
              </w:rPr>
              <w:t>月取得环评批复：现有项目</w:t>
            </w:r>
            <w:r>
              <w:rPr>
                <w:rFonts w:hint="default" w:ascii="Times New Roman" w:hAnsi="Times New Roman" w:eastAsia="宋体" w:cs="Times New Roman"/>
                <w:kern w:val="0"/>
                <w:sz w:val="24"/>
                <w:szCs w:val="24"/>
                <w:lang w:eastAsia="zh-CN"/>
              </w:rPr>
              <w:t>贴花</w:t>
            </w:r>
            <w:r>
              <w:rPr>
                <w:rFonts w:hint="default" w:ascii="Times New Roman" w:hAnsi="Times New Roman" w:eastAsia="宋体" w:cs="Times New Roman"/>
                <w:kern w:val="0"/>
                <w:sz w:val="24"/>
                <w:szCs w:val="24"/>
              </w:rPr>
              <w:t>工序产生的VOCs经</w:t>
            </w:r>
            <w:r>
              <w:rPr>
                <w:rFonts w:hint="default" w:ascii="Times New Roman" w:hAnsi="Times New Roman" w:eastAsia="宋体" w:cs="Times New Roman"/>
                <w:kern w:val="0"/>
                <w:sz w:val="24"/>
                <w:szCs w:val="24"/>
                <w:lang w:eastAsia="zh-CN"/>
              </w:rPr>
              <w:t>活性炭吸附</w:t>
            </w:r>
            <w:r>
              <w:rPr>
                <w:rFonts w:hint="default" w:ascii="Times New Roman" w:hAnsi="Times New Roman" w:eastAsia="宋体" w:cs="Times New Roman"/>
                <w:kern w:val="0"/>
                <w:sz w:val="24"/>
                <w:szCs w:val="24"/>
              </w:rPr>
              <w:t>处理后</w:t>
            </w:r>
            <w:r>
              <w:rPr>
                <w:rFonts w:hint="default" w:ascii="Times New Roman" w:hAnsi="Times New Roman" w:eastAsia="宋体" w:cs="Times New Roman"/>
                <w:kern w:val="0"/>
                <w:sz w:val="24"/>
                <w:szCs w:val="24"/>
                <w:lang w:eastAsia="zh-CN"/>
              </w:rPr>
              <w:t>通过</w:t>
            </w:r>
            <w:r>
              <w:rPr>
                <w:rFonts w:hint="default" w:ascii="Times New Roman" w:hAnsi="Times New Roman" w:eastAsia="宋体" w:cs="Times New Roman"/>
                <w:kern w:val="0"/>
                <w:sz w:val="24"/>
                <w:szCs w:val="24"/>
                <w:lang w:val="en-US" w:eastAsia="zh-CN"/>
              </w:rPr>
              <w:t>15m排气筒P1有组织</w:t>
            </w:r>
            <w:r>
              <w:rPr>
                <w:rFonts w:hint="default" w:ascii="Times New Roman" w:hAnsi="Times New Roman" w:eastAsia="宋体" w:cs="Times New Roman"/>
                <w:kern w:val="0"/>
                <w:sz w:val="24"/>
                <w:szCs w:val="24"/>
              </w:rPr>
              <w:t>排放；VOCs排放</w:t>
            </w:r>
            <w:r>
              <w:rPr>
                <w:rFonts w:hint="default" w:ascii="Times New Roman" w:hAnsi="Times New Roman" w:eastAsia="宋体" w:cs="Times New Roman"/>
                <w:kern w:val="0"/>
                <w:sz w:val="24"/>
                <w:szCs w:val="24"/>
                <w:lang w:eastAsia="zh-CN"/>
              </w:rPr>
              <w:t>总</w:t>
            </w:r>
            <w:r>
              <w:rPr>
                <w:rFonts w:hint="default" w:ascii="Times New Roman" w:hAnsi="Times New Roman" w:eastAsia="宋体" w:cs="Times New Roman"/>
                <w:kern w:val="0"/>
                <w:sz w:val="24"/>
                <w:szCs w:val="24"/>
              </w:rPr>
              <w:t>量约为0.</w:t>
            </w:r>
            <w:r>
              <w:rPr>
                <w:rFonts w:hint="default" w:ascii="Times New Roman" w:hAnsi="Times New Roman" w:eastAsia="宋体" w:cs="Times New Roman"/>
                <w:kern w:val="0"/>
                <w:sz w:val="24"/>
                <w:szCs w:val="24"/>
                <w:lang w:val="en-US" w:eastAsia="zh-CN"/>
              </w:rPr>
              <w:t>037</w:t>
            </w:r>
            <w:r>
              <w:rPr>
                <w:rFonts w:hint="default" w:ascii="Times New Roman" w:hAnsi="Times New Roman" w:eastAsia="宋体" w:cs="Times New Roman"/>
                <w:kern w:val="0"/>
                <w:sz w:val="24"/>
                <w:szCs w:val="24"/>
              </w:rPr>
              <w:t>t/a。企业在2019年安装</w:t>
            </w:r>
            <w:r>
              <w:rPr>
                <w:rFonts w:hint="default" w:ascii="Times New Roman" w:hAnsi="Times New Roman" w:eastAsia="宋体" w:cs="Times New Roman"/>
                <w:kern w:val="0"/>
                <w:sz w:val="24"/>
                <w:szCs w:val="24"/>
                <w:lang w:eastAsia="zh-CN"/>
              </w:rPr>
              <w:t>活性炭吸附</w:t>
            </w:r>
            <w:r>
              <w:rPr>
                <w:rFonts w:hint="default" w:ascii="Times New Roman" w:hAnsi="Times New Roman" w:eastAsia="宋体" w:cs="Times New Roman"/>
                <w:kern w:val="0"/>
                <w:sz w:val="24"/>
                <w:szCs w:val="24"/>
              </w:rPr>
              <w:t>处理设施：集气罩收集+</w:t>
            </w:r>
            <w:r>
              <w:rPr>
                <w:rFonts w:hint="default" w:ascii="Times New Roman" w:hAnsi="Times New Roman" w:eastAsia="宋体" w:cs="Times New Roman"/>
                <w:kern w:val="0"/>
                <w:sz w:val="24"/>
                <w:szCs w:val="24"/>
                <w:lang w:eastAsia="zh-CN"/>
              </w:rPr>
              <w:t>活性炭吸附设备</w:t>
            </w:r>
            <w:r>
              <w:rPr>
                <w:rFonts w:hint="default" w:ascii="Times New Roman" w:hAnsi="Times New Roman" w:eastAsia="宋体" w:cs="Times New Roman"/>
                <w:kern w:val="0"/>
                <w:sz w:val="24"/>
                <w:szCs w:val="24"/>
              </w:rPr>
              <w:t>+15m高排气筒</w:t>
            </w:r>
            <w:r>
              <w:rPr>
                <w:rFonts w:hint="eastAsia" w:cs="Times New Roman"/>
                <w:kern w:val="0"/>
                <w:sz w:val="24"/>
                <w:szCs w:val="24"/>
                <w:lang w:eastAsia="zh-CN"/>
              </w:rPr>
              <w:t>。</w:t>
            </w:r>
            <w:r>
              <w:rPr>
                <w:rFonts w:hint="default" w:ascii="Times New Roman" w:hAnsi="Times New Roman" w:eastAsia="宋体" w:cs="Times New Roman"/>
                <w:kern w:val="0"/>
                <w:sz w:val="24"/>
                <w:szCs w:val="24"/>
              </w:rPr>
              <w:t>由于</w:t>
            </w:r>
            <w:r>
              <w:rPr>
                <w:rFonts w:hint="eastAsia" w:cs="Times New Roman"/>
                <w:kern w:val="0"/>
                <w:sz w:val="24"/>
                <w:szCs w:val="24"/>
                <w:lang w:eastAsia="zh-CN"/>
              </w:rPr>
              <w:t>取消贴烤花工序，</w:t>
            </w:r>
            <w:r>
              <w:rPr>
                <w:rFonts w:hint="eastAsia" w:cs="Times New Roman"/>
                <w:kern w:val="0"/>
                <w:sz w:val="24"/>
                <w:szCs w:val="24"/>
                <w:lang w:val="en-US" w:eastAsia="zh-CN"/>
              </w:rPr>
              <w:t>VOCs产生量为0</w:t>
            </w:r>
            <w:r>
              <w:rPr>
                <w:rFonts w:hint="default" w:ascii="Times New Roman" w:hAnsi="Times New Roman" w:eastAsia="宋体" w:cs="Times New Roman"/>
                <w:kern w:val="0"/>
                <w:sz w:val="24"/>
                <w:szCs w:val="24"/>
              </w:rPr>
              <w:t>，现有项目和技改项目共用一套</w:t>
            </w:r>
            <w:r>
              <w:rPr>
                <w:rFonts w:hint="default" w:ascii="Times New Roman" w:hAnsi="Times New Roman" w:eastAsia="宋体" w:cs="Times New Roman"/>
                <w:kern w:val="0"/>
                <w:sz w:val="24"/>
                <w:szCs w:val="24"/>
                <w:lang w:eastAsia="zh-CN"/>
              </w:rPr>
              <w:t>生产</w:t>
            </w:r>
            <w:r>
              <w:rPr>
                <w:rFonts w:hint="default" w:ascii="Times New Roman" w:hAnsi="Times New Roman" w:eastAsia="宋体" w:cs="Times New Roman"/>
                <w:kern w:val="0"/>
                <w:sz w:val="24"/>
                <w:szCs w:val="24"/>
              </w:rPr>
              <w:t>设施</w:t>
            </w:r>
            <w:r>
              <w:rPr>
                <w:rFonts w:hint="default" w:ascii="Times New Roman" w:hAnsi="Times New Roman" w:eastAsia="宋体" w:cs="Times New Roman"/>
                <w:kern w:val="0"/>
                <w:sz w:val="24"/>
                <w:szCs w:val="24"/>
                <w:lang w:eastAsia="zh-CN"/>
              </w:rPr>
              <w:t>、一套处理设施</w:t>
            </w:r>
            <w:r>
              <w:rPr>
                <w:rFonts w:hint="default" w:ascii="Times New Roman" w:hAnsi="Times New Roman" w:eastAsia="宋体" w:cs="Times New Roman"/>
                <w:kern w:val="0"/>
                <w:sz w:val="24"/>
                <w:szCs w:val="24"/>
              </w:rPr>
              <w:t>。</w:t>
            </w:r>
            <w:r>
              <w:rPr>
                <w:rFonts w:hint="eastAsia" w:cs="Times New Roman"/>
                <w:kern w:val="0"/>
                <w:sz w:val="24"/>
                <w:szCs w:val="24"/>
                <w:lang w:eastAsia="zh-CN"/>
              </w:rPr>
              <w:t>现有项目</w:t>
            </w:r>
            <w:r>
              <w:rPr>
                <w:rFonts w:hint="eastAsia" w:cs="Times New Roman"/>
                <w:kern w:val="0"/>
                <w:sz w:val="24"/>
                <w:szCs w:val="24"/>
                <w:lang w:val="en-US" w:eastAsia="zh-CN"/>
              </w:rPr>
              <w:t>VOCs总排放量为0t/a，VOCs以新带老削减量约为0.019t/a；现有项目SO</w:t>
            </w:r>
            <w:r>
              <w:rPr>
                <w:rFonts w:hint="eastAsia" w:cs="Times New Roman"/>
                <w:kern w:val="0"/>
                <w:sz w:val="24"/>
                <w:szCs w:val="24"/>
                <w:vertAlign w:val="subscript"/>
                <w:lang w:val="en-US" w:eastAsia="zh-CN"/>
              </w:rPr>
              <w:t>2</w:t>
            </w:r>
            <w:r>
              <w:rPr>
                <w:rFonts w:hint="eastAsia" w:cs="Times New Roman"/>
                <w:kern w:val="0"/>
                <w:sz w:val="24"/>
                <w:szCs w:val="24"/>
                <w:lang w:val="en-US" w:eastAsia="zh-CN"/>
              </w:rPr>
              <w:t>总排放量约为0.00158t/a，SO</w:t>
            </w:r>
            <w:r>
              <w:rPr>
                <w:rFonts w:hint="eastAsia" w:cs="Times New Roman"/>
                <w:kern w:val="0"/>
                <w:sz w:val="24"/>
                <w:szCs w:val="24"/>
                <w:vertAlign w:val="subscript"/>
                <w:lang w:val="en-US" w:eastAsia="zh-CN"/>
              </w:rPr>
              <w:t>2</w:t>
            </w:r>
            <w:r>
              <w:rPr>
                <w:rFonts w:hint="eastAsia" w:cs="Times New Roman"/>
                <w:kern w:val="0"/>
                <w:sz w:val="24"/>
                <w:szCs w:val="24"/>
                <w:lang w:val="en-US" w:eastAsia="zh-CN"/>
              </w:rPr>
              <w:t>以新待老削减量约为0.00158t/a；现有项目NO</w:t>
            </w:r>
            <w:r>
              <w:rPr>
                <w:rFonts w:hint="eastAsia" w:cs="Times New Roman"/>
                <w:kern w:val="0"/>
                <w:sz w:val="24"/>
                <w:szCs w:val="24"/>
                <w:vertAlign w:val="subscript"/>
                <w:lang w:val="en-US" w:eastAsia="zh-CN"/>
              </w:rPr>
              <w:t>X</w:t>
            </w:r>
            <w:r>
              <w:rPr>
                <w:rFonts w:hint="eastAsia" w:cs="Times New Roman"/>
                <w:kern w:val="0"/>
                <w:sz w:val="24"/>
                <w:szCs w:val="24"/>
                <w:lang w:val="en-US" w:eastAsia="zh-CN"/>
              </w:rPr>
              <w:t>总排放量约为0.01375t/a，NO</w:t>
            </w:r>
            <w:r>
              <w:rPr>
                <w:rFonts w:hint="eastAsia" w:cs="Times New Roman"/>
                <w:kern w:val="0"/>
                <w:sz w:val="24"/>
                <w:szCs w:val="24"/>
                <w:vertAlign w:val="subscript"/>
                <w:lang w:val="en-US" w:eastAsia="zh-CN"/>
              </w:rPr>
              <w:t>X</w:t>
            </w:r>
            <w:r>
              <w:rPr>
                <w:rFonts w:hint="eastAsia" w:cs="Times New Roman"/>
                <w:kern w:val="0"/>
                <w:sz w:val="24"/>
                <w:szCs w:val="24"/>
                <w:lang w:val="en-US" w:eastAsia="zh-CN"/>
              </w:rPr>
              <w:t>以新待老削减量约为0.01375t/a；现有项目颗粒物总排放量约为0.000218t/a，颗粒物以新待老削减量约为0.000218t/a。</w:t>
            </w:r>
          </w:p>
          <w:p>
            <w:pPr>
              <w:pStyle w:val="10"/>
              <w:keepNext w:val="0"/>
              <w:keepLines w:val="0"/>
              <w:pageBreakBefore w:val="0"/>
              <w:widowControl w:val="0"/>
              <w:numPr>
                <w:ilvl w:val="0"/>
                <w:numId w:val="7"/>
              </w:numPr>
              <w:kinsoku/>
              <w:wordWrap/>
              <w:overflowPunct/>
              <w:topLinePunct w:val="0"/>
              <w:autoSpaceDE/>
              <w:autoSpaceDN/>
              <w:bidi w:val="0"/>
              <w:adjustRightInd w:val="0"/>
              <w:snapToGrid/>
              <w:spacing w:line="360" w:lineRule="auto"/>
              <w:ind w:left="0" w:leftChars="0" w:firstLine="0" w:firstLineChars="0"/>
              <w:textAlignment w:val="baseline"/>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技改项目“三本帐”核算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kern w:val="0"/>
                <w:sz w:val="24"/>
                <w:lang w:eastAsia="zh-CN"/>
              </w:rPr>
            </w:pPr>
            <w:r>
              <w:rPr>
                <w:rFonts w:hint="eastAsia" w:ascii="Times New Roman" w:hAnsi="Times New Roman" w:eastAsia="宋体" w:cs="Times New Roman"/>
                <w:b w:val="0"/>
                <w:bCs/>
                <w:kern w:val="0"/>
                <w:sz w:val="24"/>
                <w:lang w:eastAsia="zh-CN"/>
              </w:rPr>
              <w:t>技改项目三本帐核算如下表所示。</w:t>
            </w:r>
          </w:p>
          <w:p>
            <w:pPr>
              <w:adjustRightInd w:val="0"/>
              <w:snapToGrid w:val="0"/>
              <w:spacing w:line="360" w:lineRule="auto"/>
              <w:jc w:val="center"/>
              <w:rPr>
                <w:rFonts w:hint="default" w:ascii="Times New Roman" w:hAnsi="Times New Roman" w:eastAsia="宋体" w:cs="Times New Roman"/>
                <w:bCs/>
                <w:kern w:val="0"/>
                <w:sz w:val="24"/>
                <w:lang w:val="en-US" w:eastAsia="zh-CN"/>
              </w:rPr>
            </w:pPr>
            <w:r>
              <w:rPr>
                <w:rFonts w:hint="default" w:ascii="Times New Roman" w:hAnsi="Times New Roman" w:eastAsia="宋体" w:cs="Times New Roman"/>
                <w:b/>
                <w:bCs w:val="0"/>
                <w:kern w:val="0"/>
                <w:sz w:val="24"/>
                <w:lang w:eastAsia="zh-CN"/>
              </w:rPr>
              <w:t>表</w:t>
            </w:r>
            <w:r>
              <w:rPr>
                <w:rFonts w:hint="eastAsia" w:ascii="Times New Roman" w:hAnsi="Times New Roman" w:eastAsia="宋体" w:cs="Times New Roman"/>
                <w:b/>
                <w:bCs w:val="0"/>
                <w:kern w:val="0"/>
                <w:sz w:val="24"/>
                <w:lang w:val="en-US" w:eastAsia="zh-CN"/>
              </w:rPr>
              <w:t>4-15</w:t>
            </w:r>
            <w:r>
              <w:rPr>
                <w:rFonts w:hint="default" w:ascii="Times New Roman" w:hAnsi="Times New Roman" w:eastAsia="宋体" w:cs="Times New Roman"/>
                <w:b/>
                <w:bCs w:val="0"/>
                <w:kern w:val="0"/>
                <w:sz w:val="24"/>
                <w:lang w:val="en-US" w:eastAsia="zh-CN"/>
              </w:rPr>
              <w:t xml:space="preserve"> 项目“三本帐”核算一览表</w:t>
            </w:r>
          </w:p>
          <w:tbl>
            <w:tblPr>
              <w:tblStyle w:val="1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035"/>
              <w:gridCol w:w="1338"/>
              <w:gridCol w:w="1195"/>
              <w:gridCol w:w="1360"/>
              <w:gridCol w:w="1195"/>
              <w:gridCol w:w="12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81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项目</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现有项目排放量</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本项目排放量</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“以新带老”削减量</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预测排放总量</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vertAlign w:val="baseline"/>
                      <w:lang w:val="en-US" w:eastAsia="zh-CN"/>
                    </w:rPr>
                  </w:pPr>
                  <w:r>
                    <w:rPr>
                      <w:rFonts w:hint="default" w:ascii="Times New Roman" w:hAnsi="Times New Roman" w:eastAsia="宋体" w:cs="Times New Roman"/>
                      <w:bCs/>
                      <w:color w:val="auto"/>
                      <w:kern w:val="0"/>
                      <w:sz w:val="21"/>
                      <w:szCs w:val="21"/>
                      <w:vertAlign w:val="baseline"/>
                      <w:lang w:val="en-US" w:eastAsia="zh-CN"/>
                    </w:rPr>
                    <w:t>排放增减量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废气</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VOCs</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0.01</w:t>
                  </w:r>
                  <w:r>
                    <w:rPr>
                      <w:rFonts w:hint="eastAsia" w:cs="Times New Roman"/>
                      <w:bCs/>
                      <w:kern w:val="0"/>
                      <w:sz w:val="21"/>
                      <w:szCs w:val="21"/>
                      <w:vertAlign w:val="baseline"/>
                      <w:lang w:val="en-US" w:eastAsia="zh-CN"/>
                    </w:rPr>
                    <w:t>9</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eastAsia"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0.01</w:t>
                  </w:r>
                  <w:r>
                    <w:rPr>
                      <w:rFonts w:hint="eastAsia" w:cs="Times New Roman"/>
                      <w:bCs/>
                      <w:kern w:val="0"/>
                      <w:sz w:val="21"/>
                      <w:szCs w:val="21"/>
                      <w:vertAlign w:val="baseline"/>
                      <w:lang w:val="en-US" w:eastAsia="zh-CN"/>
                    </w:rPr>
                    <w:t>9</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eastAsia"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w:t>
                  </w:r>
                  <w:r>
                    <w:rPr>
                      <w:rFonts w:hint="eastAsia" w:cs="Times New Roman"/>
                      <w:bCs/>
                      <w:kern w:val="0"/>
                      <w:sz w:val="21"/>
                      <w:szCs w:val="21"/>
                      <w:vertAlign w:val="baseline"/>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SO</w:t>
                  </w:r>
                  <w:r>
                    <w:rPr>
                      <w:rFonts w:hint="default" w:ascii="Times New Roman" w:hAnsi="Times New Roman" w:eastAsia="宋体" w:cs="Times New Roman"/>
                      <w:bCs/>
                      <w:kern w:val="0"/>
                      <w:sz w:val="21"/>
                      <w:szCs w:val="21"/>
                      <w:vertAlign w:val="subscript"/>
                      <w:lang w:val="en-US" w:eastAsia="zh-CN"/>
                    </w:rPr>
                    <w:t>2</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0.00158</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eastAsia" w:cs="Times New Roman"/>
                      <w:bCs/>
                      <w:kern w:val="0"/>
                      <w:sz w:val="21"/>
                      <w:szCs w:val="21"/>
                      <w:vertAlign w:val="baseline"/>
                      <w:lang w:val="en-US" w:eastAsia="zh-CN"/>
                    </w:rPr>
                    <w:t>0.0095</w:t>
                  </w:r>
                </w:p>
              </w:tc>
              <w:tc>
                <w:tcPr>
                  <w:tcW w:w="1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0.00158</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eastAsia" w:cs="Times New Roman"/>
                      <w:bCs/>
                      <w:kern w:val="0"/>
                      <w:sz w:val="21"/>
                      <w:szCs w:val="21"/>
                      <w:vertAlign w:val="baseline"/>
                      <w:lang w:val="en-US" w:eastAsia="zh-CN"/>
                    </w:rPr>
                    <w:t>0.0095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w:t>
                  </w:r>
                  <w:r>
                    <w:rPr>
                      <w:rFonts w:hint="eastAsia" w:cs="Times New Roman"/>
                      <w:bCs/>
                      <w:kern w:val="0"/>
                      <w:sz w:val="21"/>
                      <w:szCs w:val="21"/>
                      <w:vertAlign w:val="baseline"/>
                      <w:lang w:val="en-US" w:eastAsia="zh-CN"/>
                    </w:rPr>
                    <w:t>0.00792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NO</w:t>
                  </w:r>
                  <w:r>
                    <w:rPr>
                      <w:rFonts w:hint="default" w:ascii="Times New Roman" w:hAnsi="Times New Roman" w:eastAsia="宋体" w:cs="Times New Roman"/>
                      <w:bCs/>
                      <w:kern w:val="0"/>
                      <w:sz w:val="21"/>
                      <w:szCs w:val="21"/>
                      <w:vertAlign w:val="subscript"/>
                      <w:lang w:val="en-US" w:eastAsia="zh-CN"/>
                    </w:rPr>
                    <w:t>X</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0.01375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eastAsia" w:cs="Times New Roman"/>
                      <w:bCs/>
                      <w:kern w:val="0"/>
                      <w:sz w:val="21"/>
                      <w:szCs w:val="21"/>
                      <w:vertAlign w:val="baseline"/>
                      <w:lang w:val="en-US" w:eastAsia="zh-CN"/>
                    </w:rPr>
                    <w:t>0.0825</w:t>
                  </w:r>
                </w:p>
              </w:tc>
              <w:tc>
                <w:tcPr>
                  <w:tcW w:w="1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0.01375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eastAsia" w:cs="Times New Roman"/>
                      <w:bCs/>
                      <w:kern w:val="0"/>
                      <w:sz w:val="21"/>
                      <w:szCs w:val="21"/>
                      <w:vertAlign w:val="baseline"/>
                      <w:lang w:val="en-US" w:eastAsia="zh-CN"/>
                    </w:rPr>
                    <w:t>0.0825</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w:t>
                  </w:r>
                  <w:r>
                    <w:rPr>
                      <w:rFonts w:hint="eastAsia" w:cs="Times New Roman"/>
                      <w:bCs/>
                      <w:kern w:val="0"/>
                      <w:sz w:val="21"/>
                      <w:szCs w:val="21"/>
                      <w:vertAlign w:val="baseline"/>
                      <w:lang w:val="en-US" w:eastAsia="zh-CN"/>
                    </w:rPr>
                    <w:t>0.06875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p>
              </w:tc>
              <w:tc>
                <w:tcPr>
                  <w:tcW w:w="1035" w:type="dxa"/>
                  <w:tcBorders>
                    <w:tl2br w:val="nil"/>
                    <w:tr2bl w:val="nil"/>
                  </w:tcBorders>
                  <w:vAlign w:val="center"/>
                </w:tcPr>
                <w:p>
                  <w:pPr>
                    <w:keepNext w:val="0"/>
                    <w:keepLines w:val="0"/>
                    <w:pageBreakBefore w:val="0"/>
                    <w:widowControl w:val="0"/>
                    <w:tabs>
                      <w:tab w:val="center" w:pos="47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颗粒物</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0.00</w:t>
                  </w:r>
                  <w:r>
                    <w:rPr>
                      <w:rFonts w:hint="eastAsia" w:cs="Times New Roman"/>
                      <w:bCs/>
                      <w:kern w:val="0"/>
                      <w:sz w:val="21"/>
                      <w:szCs w:val="21"/>
                      <w:vertAlign w:val="baseline"/>
                      <w:lang w:val="en-US" w:eastAsia="zh-CN"/>
                    </w:rPr>
                    <w:t>0</w:t>
                  </w:r>
                  <w:r>
                    <w:rPr>
                      <w:rFonts w:hint="default" w:ascii="Times New Roman" w:hAnsi="Times New Roman" w:eastAsia="宋体" w:cs="Times New Roman"/>
                      <w:bCs/>
                      <w:kern w:val="0"/>
                      <w:sz w:val="21"/>
                      <w:szCs w:val="21"/>
                      <w:vertAlign w:val="baseline"/>
                      <w:lang w:val="en-US" w:eastAsia="zh-CN"/>
                    </w:rPr>
                    <w:t>21</w:t>
                  </w:r>
                  <w:r>
                    <w:rPr>
                      <w:rFonts w:hint="eastAsia" w:cs="Times New Roman"/>
                      <w:bCs/>
                      <w:kern w:val="0"/>
                      <w:sz w:val="21"/>
                      <w:szCs w:val="21"/>
                      <w:vertAlign w:val="baseline"/>
                      <w:lang w:val="en-US" w:eastAsia="zh-CN"/>
                    </w:rPr>
                    <w:t>8</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eastAsia" w:cs="Times New Roman"/>
                      <w:bCs/>
                      <w:kern w:val="0"/>
                      <w:sz w:val="21"/>
                      <w:szCs w:val="21"/>
                      <w:vertAlign w:val="baseline"/>
                      <w:lang w:val="en-US" w:eastAsia="zh-CN"/>
                    </w:rPr>
                    <w:t>0.0013</w:t>
                  </w:r>
                </w:p>
              </w:tc>
              <w:tc>
                <w:tcPr>
                  <w:tcW w:w="1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0.00</w:t>
                  </w:r>
                  <w:r>
                    <w:rPr>
                      <w:rFonts w:hint="eastAsia" w:cs="Times New Roman"/>
                      <w:bCs/>
                      <w:kern w:val="0"/>
                      <w:sz w:val="21"/>
                      <w:szCs w:val="21"/>
                      <w:vertAlign w:val="baseline"/>
                      <w:lang w:val="en-US" w:eastAsia="zh-CN"/>
                    </w:rPr>
                    <w:t>0</w:t>
                  </w:r>
                  <w:r>
                    <w:rPr>
                      <w:rFonts w:hint="default" w:ascii="Times New Roman" w:hAnsi="Times New Roman" w:eastAsia="宋体" w:cs="Times New Roman"/>
                      <w:bCs/>
                      <w:kern w:val="0"/>
                      <w:sz w:val="21"/>
                      <w:szCs w:val="21"/>
                      <w:vertAlign w:val="baseline"/>
                      <w:lang w:val="en-US" w:eastAsia="zh-CN"/>
                    </w:rPr>
                    <w:t>21</w:t>
                  </w:r>
                  <w:r>
                    <w:rPr>
                      <w:rFonts w:hint="eastAsia" w:cs="Times New Roman"/>
                      <w:bCs/>
                      <w:kern w:val="0"/>
                      <w:sz w:val="21"/>
                      <w:szCs w:val="21"/>
                      <w:vertAlign w:val="baseline"/>
                      <w:lang w:val="en-US" w:eastAsia="zh-CN"/>
                    </w:rPr>
                    <w:t>8</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eastAsia" w:cs="Times New Roman"/>
                      <w:bCs/>
                      <w:kern w:val="0"/>
                      <w:sz w:val="21"/>
                      <w:szCs w:val="21"/>
                      <w:vertAlign w:val="baseline"/>
                      <w:lang w:val="en-US" w:eastAsia="zh-CN"/>
                    </w:rPr>
                    <w:t>0.0013</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w:t>
                  </w:r>
                  <w:r>
                    <w:rPr>
                      <w:rFonts w:hint="eastAsia" w:cs="Times New Roman"/>
                      <w:bCs/>
                      <w:kern w:val="0"/>
                      <w:sz w:val="21"/>
                      <w:szCs w:val="21"/>
                      <w:vertAlign w:val="baseline"/>
                      <w:lang w:val="en-US" w:eastAsia="zh-CN"/>
                    </w:rPr>
                    <w:t>0.001082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废水</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COD</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氨氮</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固体废物</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下脚料</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不合格产品</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生活垃圾</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vertAlign w:val="baseline"/>
                      <w:lang w:val="en-US" w:eastAsia="zh-CN"/>
                    </w:rPr>
                  </w:pPr>
                  <w:r>
                    <w:rPr>
                      <w:rFonts w:hint="default" w:ascii="Times New Roman" w:hAnsi="Times New Roman" w:eastAsia="宋体" w:cs="Times New Roman"/>
                      <w:bCs/>
                      <w:kern w:val="0"/>
                      <w:sz w:val="21"/>
                      <w:szCs w:val="21"/>
                      <w:vertAlign w:val="baseline"/>
                      <w:lang w:val="en-US" w:eastAsia="zh-CN"/>
                    </w:rPr>
                    <w:t>0</w:t>
                  </w:r>
                </w:p>
              </w:tc>
            </w:tr>
          </w:tbl>
          <w:p>
            <w:pPr>
              <w:adjustRightInd w:val="0"/>
              <w:snapToGrid w:val="0"/>
              <w:spacing w:line="360" w:lineRule="auto"/>
              <w:rPr>
                <w:rFonts w:hint="default" w:ascii="Times New Roman" w:hAnsi="Times New Roman" w:eastAsia="宋体" w:cs="Times New Roman"/>
                <w:bCs/>
                <w:kern w:val="0"/>
                <w:sz w:val="24"/>
                <w:lang w:val="en-US" w:eastAsia="zh-CN"/>
              </w:rPr>
            </w:pPr>
          </w:p>
        </w:tc>
      </w:tr>
    </w:tbl>
    <w:p>
      <w:pPr>
        <w:adjustRightInd w:val="0"/>
        <w:snapToGrid w:val="0"/>
        <w:spacing w:line="360" w:lineRule="auto"/>
        <w:rPr>
          <w:rFonts w:hint="default" w:ascii="Times New Roman" w:hAnsi="Times New Roman" w:eastAsia="宋体"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7"/>
        <w:adjustRightInd w:val="0"/>
        <w:snapToGrid w:val="0"/>
        <w:spacing w:before="0" w:beforeAutospacing="0" w:after="0" w:afterAutospacing="0"/>
        <w:jc w:val="center"/>
        <w:outlineLvl w:val="0"/>
        <w:rPr>
          <w:rFonts w:hint="default" w:ascii="Times New Roman" w:hAnsi="Times New Roman" w:eastAsia="宋体" w:cs="Times New Roman"/>
          <w:b/>
          <w:bCs/>
          <w:snapToGrid w:val="0"/>
          <w:kern w:val="0"/>
          <w:sz w:val="30"/>
          <w:szCs w:val="30"/>
        </w:rPr>
      </w:pPr>
      <w:r>
        <w:rPr>
          <w:rFonts w:hint="default" w:ascii="Times New Roman" w:hAnsi="Times New Roman" w:eastAsia="宋体" w:cs="Times New Roman"/>
          <w:b/>
          <w:bCs/>
          <w:snapToGrid w:val="0"/>
          <w:kern w:val="0"/>
          <w:sz w:val="30"/>
          <w:szCs w:val="30"/>
        </w:rPr>
        <w:t>五、</w:t>
      </w:r>
      <w:bookmarkStart w:id="5" w:name="_Hlk54167917"/>
      <w:r>
        <w:rPr>
          <w:rFonts w:hint="default" w:ascii="Times New Roman" w:hAnsi="Times New Roman" w:eastAsia="宋体" w:cs="Times New Roman"/>
          <w:b/>
          <w:bCs/>
          <w:snapToGrid w:val="0"/>
          <w:kern w:val="0"/>
          <w:sz w:val="30"/>
          <w:szCs w:val="30"/>
        </w:rPr>
        <w:t>环境保护措施监督检查清单</w:t>
      </w:r>
      <w:bookmarkEnd w:id="5"/>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530"/>
        <w:gridCol w:w="1166"/>
        <w:gridCol w:w="1633"/>
        <w:gridCol w:w="34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tcBorders>
              <w:tl2br w:val="single" w:color="auto" w:sz="4" w:space="0"/>
            </w:tcBorders>
          </w:tcPr>
          <w:p>
            <w:pPr>
              <w:adjustRightInd w:val="0"/>
              <w:snapToGrid w:val="0"/>
              <w:jc w:val="right"/>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内容</w:t>
            </w:r>
          </w:p>
          <w:p>
            <w:pPr>
              <w:adjustRightInd w:val="0"/>
              <w:snapToGrid w:val="0"/>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要素</w:t>
            </w:r>
          </w:p>
        </w:tc>
        <w:tc>
          <w:tcPr>
            <w:tcW w:w="1530" w:type="dxa"/>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排放口（编号、</w:t>
            </w:r>
          </w:p>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名称）/污染源</w:t>
            </w:r>
          </w:p>
        </w:tc>
        <w:tc>
          <w:tcPr>
            <w:tcW w:w="1166" w:type="dxa"/>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污染物项目</w:t>
            </w:r>
          </w:p>
        </w:tc>
        <w:tc>
          <w:tcPr>
            <w:tcW w:w="1633" w:type="dxa"/>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环境保护措施</w:t>
            </w:r>
          </w:p>
        </w:tc>
        <w:tc>
          <w:tcPr>
            <w:tcW w:w="3408" w:type="dxa"/>
            <w:vAlign w:val="center"/>
          </w:tcPr>
          <w:p>
            <w:pPr>
              <w:adjustRightInd w:val="0"/>
              <w:snapToGrid w:val="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Merge w:val="restart"/>
            <w:vAlign w:val="center"/>
          </w:tcPr>
          <w:p>
            <w:pPr>
              <w:adjustRightInd w:val="0"/>
              <w:snapToGrid w:val="0"/>
              <w:jc w:val="center"/>
              <w:rPr>
                <w:rFonts w:hint="eastAsia" w:ascii="Times New Roman" w:hAnsi="Times New Roman" w:eastAsia="宋体" w:cs="Times New Roman"/>
                <w:kern w:val="0"/>
                <w:szCs w:val="21"/>
                <w:lang w:eastAsia="zh-CN"/>
              </w:rPr>
            </w:pPr>
            <w:r>
              <w:rPr>
                <w:rFonts w:hint="eastAsia" w:cs="Times New Roman"/>
                <w:kern w:val="0"/>
                <w:szCs w:val="21"/>
                <w:lang w:eastAsia="zh-CN"/>
              </w:rPr>
              <w:t>大气环境</w:t>
            </w:r>
          </w:p>
        </w:tc>
        <w:tc>
          <w:tcPr>
            <w:tcW w:w="1530" w:type="dxa"/>
            <w:vMerge w:val="restart"/>
            <w:vAlign w:val="center"/>
          </w:tcPr>
          <w:p>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厂界</w:t>
            </w:r>
          </w:p>
        </w:tc>
        <w:tc>
          <w:tcPr>
            <w:tcW w:w="1166" w:type="dxa"/>
            <w:vAlign w:val="center"/>
          </w:tcPr>
          <w:p>
            <w:pPr>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1633" w:type="dxa"/>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加强管理，密闭车间</w:t>
            </w:r>
          </w:p>
        </w:tc>
        <w:tc>
          <w:tcPr>
            <w:tcW w:w="3408" w:type="dxa"/>
            <w:vMerge w:val="restart"/>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bCs/>
                <w:kern w:val="0"/>
                <w:szCs w:val="21"/>
              </w:rPr>
              <w:t>《大气污染物综合排放标准》（GB16297-1996）表2新污染源大气污染物排放限值中无组织排放监控浓度限值（颗粒物：1.0mg/m</w:t>
            </w:r>
            <w:r>
              <w:rPr>
                <w:rFonts w:hint="default" w:ascii="Times New Roman" w:hAnsi="Times New Roman" w:eastAsia="宋体" w:cs="Times New Roman"/>
                <w:bCs/>
                <w:kern w:val="0"/>
                <w:szCs w:val="21"/>
                <w:vertAlign w:val="superscript"/>
              </w:rPr>
              <w:t>3</w:t>
            </w:r>
            <w:r>
              <w:rPr>
                <w:rFonts w:hint="default" w:ascii="Times New Roman" w:hAnsi="Times New Roman" w:eastAsia="宋体" w:cs="Times New Roman"/>
                <w:bCs/>
                <w:kern w:val="0"/>
                <w:szCs w:val="21"/>
              </w:rPr>
              <w:t>，SO</w:t>
            </w:r>
            <w:r>
              <w:rPr>
                <w:rFonts w:hint="default" w:ascii="Times New Roman" w:hAnsi="Times New Roman" w:eastAsia="宋体" w:cs="Times New Roman"/>
                <w:bCs/>
                <w:kern w:val="0"/>
                <w:szCs w:val="21"/>
                <w:vertAlign w:val="subscript"/>
              </w:rPr>
              <w:t>2</w:t>
            </w:r>
            <w:r>
              <w:rPr>
                <w:rFonts w:hint="default" w:ascii="Times New Roman" w:hAnsi="Times New Roman" w:eastAsia="宋体" w:cs="Times New Roman"/>
                <w:bCs/>
                <w:kern w:val="0"/>
                <w:szCs w:val="21"/>
              </w:rPr>
              <w:t>：0.4mg/m</w:t>
            </w:r>
            <w:r>
              <w:rPr>
                <w:rFonts w:hint="default" w:ascii="Times New Roman" w:hAnsi="Times New Roman" w:eastAsia="宋体" w:cs="Times New Roman"/>
                <w:bCs/>
                <w:kern w:val="0"/>
                <w:szCs w:val="21"/>
                <w:vertAlign w:val="superscript"/>
              </w:rPr>
              <w:t>3</w:t>
            </w:r>
            <w:r>
              <w:rPr>
                <w:rFonts w:hint="default" w:ascii="Times New Roman" w:hAnsi="Times New Roman" w:eastAsia="宋体" w:cs="Times New Roman"/>
                <w:bCs/>
                <w:kern w:val="0"/>
                <w:szCs w:val="21"/>
              </w:rPr>
              <w:t>，NO</w:t>
            </w:r>
            <w:r>
              <w:rPr>
                <w:rFonts w:hint="default" w:ascii="Times New Roman" w:hAnsi="Times New Roman" w:eastAsia="宋体" w:cs="Times New Roman"/>
                <w:bCs/>
                <w:kern w:val="0"/>
                <w:szCs w:val="21"/>
                <w:vertAlign w:val="subscript"/>
              </w:rPr>
              <w:t>X</w:t>
            </w:r>
            <w:r>
              <w:rPr>
                <w:rFonts w:hint="default" w:ascii="Times New Roman" w:hAnsi="Times New Roman" w:eastAsia="宋体" w:cs="Times New Roman"/>
                <w:bCs/>
                <w:kern w:val="0"/>
                <w:szCs w:val="21"/>
              </w:rPr>
              <w:t>：0.4mg/m</w:t>
            </w:r>
            <w:r>
              <w:rPr>
                <w:rFonts w:hint="default" w:ascii="Times New Roman" w:hAnsi="Times New Roman" w:eastAsia="宋体" w:cs="Times New Roman"/>
                <w:bCs/>
                <w:kern w:val="0"/>
                <w:szCs w:val="21"/>
                <w:vertAlign w:val="superscript"/>
              </w:rPr>
              <w:t>3</w:t>
            </w:r>
            <w:r>
              <w:rPr>
                <w:rFonts w:hint="default" w:ascii="Times New Roman" w:hAnsi="Times New Roman" w:eastAsia="宋体" w:cs="Times New Roman"/>
                <w:bCs/>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Merge w:val="continue"/>
            <w:vAlign w:val="center"/>
          </w:tcPr>
          <w:p>
            <w:pPr>
              <w:adjustRightInd w:val="0"/>
              <w:snapToGrid w:val="0"/>
              <w:jc w:val="center"/>
              <w:rPr>
                <w:rFonts w:hint="default" w:ascii="Times New Roman" w:hAnsi="Times New Roman" w:eastAsia="宋体" w:cs="Times New Roman"/>
                <w:kern w:val="0"/>
                <w:szCs w:val="21"/>
              </w:rPr>
            </w:pPr>
          </w:p>
        </w:tc>
        <w:tc>
          <w:tcPr>
            <w:tcW w:w="1530" w:type="dxa"/>
            <w:vMerge w:val="continue"/>
            <w:vAlign w:val="center"/>
          </w:tcPr>
          <w:p>
            <w:pPr>
              <w:adjustRightInd w:val="0"/>
              <w:snapToGrid w:val="0"/>
              <w:jc w:val="center"/>
              <w:rPr>
                <w:rFonts w:hint="default" w:ascii="Times New Roman" w:hAnsi="Times New Roman" w:eastAsia="宋体" w:cs="Times New Roman"/>
                <w:bCs/>
                <w:kern w:val="0"/>
                <w:szCs w:val="21"/>
              </w:rPr>
            </w:pPr>
          </w:p>
        </w:tc>
        <w:tc>
          <w:tcPr>
            <w:tcW w:w="1166"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X</w:t>
            </w:r>
          </w:p>
        </w:tc>
        <w:tc>
          <w:tcPr>
            <w:tcW w:w="1633"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加强管理，密闭车间</w:t>
            </w:r>
          </w:p>
        </w:tc>
        <w:tc>
          <w:tcPr>
            <w:tcW w:w="3408" w:type="dxa"/>
            <w:vMerge w:val="continue"/>
            <w:tcBorders/>
            <w:vAlign w:val="center"/>
          </w:tcPr>
          <w:p>
            <w:pPr>
              <w:adjustRightInd w:val="0"/>
              <w:snapToGrid w:val="0"/>
              <w:jc w:val="center"/>
              <w:rPr>
                <w:rFonts w:hint="default" w:ascii="Times New Roman" w:hAnsi="Times New Roman" w:eastAsia="宋体" w:cs="Times New Roman"/>
                <w:kern w:val="0"/>
                <w:szCs w:val="21"/>
                <w:lang w:val="de-D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Merge w:val="continue"/>
            <w:vAlign w:val="center"/>
          </w:tcPr>
          <w:p>
            <w:pPr>
              <w:adjustRightInd w:val="0"/>
              <w:snapToGrid w:val="0"/>
              <w:jc w:val="center"/>
              <w:rPr>
                <w:rFonts w:hint="default" w:ascii="Times New Roman" w:hAnsi="Times New Roman" w:eastAsia="宋体" w:cs="Times New Roman"/>
                <w:kern w:val="0"/>
                <w:szCs w:val="21"/>
              </w:rPr>
            </w:pPr>
          </w:p>
        </w:tc>
        <w:tc>
          <w:tcPr>
            <w:tcW w:w="1530" w:type="dxa"/>
            <w:vMerge w:val="continue"/>
            <w:vAlign w:val="center"/>
          </w:tcPr>
          <w:p>
            <w:pPr>
              <w:adjustRightInd w:val="0"/>
              <w:snapToGrid w:val="0"/>
              <w:jc w:val="center"/>
              <w:rPr>
                <w:rFonts w:hint="default" w:ascii="Times New Roman" w:hAnsi="Times New Roman" w:eastAsia="宋体" w:cs="Times New Roman"/>
                <w:kern w:val="0"/>
                <w:szCs w:val="21"/>
              </w:rPr>
            </w:pPr>
          </w:p>
        </w:tc>
        <w:tc>
          <w:tcPr>
            <w:tcW w:w="1166"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bCs/>
                <w:kern w:val="0"/>
                <w:szCs w:val="21"/>
              </w:rPr>
              <w:t>颗粒物</w:t>
            </w:r>
          </w:p>
        </w:tc>
        <w:tc>
          <w:tcPr>
            <w:tcW w:w="1633"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加强管理，密闭车间</w:t>
            </w:r>
          </w:p>
        </w:tc>
        <w:tc>
          <w:tcPr>
            <w:tcW w:w="3408" w:type="dxa"/>
            <w:vMerge w:val="continue"/>
            <w:tcBorders/>
            <w:vAlign w:val="center"/>
          </w:tcPr>
          <w:p>
            <w:pPr>
              <w:adjustRightInd w:val="0"/>
              <w:snapToGrid w:val="0"/>
              <w:jc w:val="center"/>
              <w:rPr>
                <w:rFonts w:hint="default" w:ascii="Times New Roman" w:hAnsi="Times New Roman" w:eastAsia="宋体"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地表水环境</w:t>
            </w:r>
          </w:p>
        </w:tc>
        <w:tc>
          <w:tcPr>
            <w:tcW w:w="1530"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职工生活</w:t>
            </w:r>
          </w:p>
        </w:tc>
        <w:tc>
          <w:tcPr>
            <w:tcW w:w="1166"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生活污水</w:t>
            </w:r>
          </w:p>
        </w:tc>
        <w:tc>
          <w:tcPr>
            <w:tcW w:w="163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经旱厕暂存后用作周边农田农肥</w:t>
            </w:r>
          </w:p>
        </w:tc>
        <w:tc>
          <w:tcPr>
            <w:tcW w:w="3408"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声环境</w:t>
            </w:r>
          </w:p>
        </w:tc>
        <w:tc>
          <w:tcPr>
            <w:tcW w:w="1530"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生产车间</w:t>
            </w:r>
          </w:p>
        </w:tc>
        <w:tc>
          <w:tcPr>
            <w:tcW w:w="1166"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设备噪声</w:t>
            </w:r>
          </w:p>
        </w:tc>
        <w:tc>
          <w:tcPr>
            <w:tcW w:w="163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采取减振防噪措施</w:t>
            </w:r>
          </w:p>
        </w:tc>
        <w:tc>
          <w:tcPr>
            <w:tcW w:w="3408"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满足《工业企业厂界环境噪声排放标准》（GB12348-2008）</w:t>
            </w:r>
          </w:p>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电磁辐射</w:t>
            </w:r>
          </w:p>
        </w:tc>
        <w:tc>
          <w:tcPr>
            <w:tcW w:w="1530"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166"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63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3408"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固体废物</w:t>
            </w:r>
          </w:p>
        </w:tc>
        <w:tc>
          <w:tcPr>
            <w:tcW w:w="7737" w:type="dxa"/>
            <w:gridSpan w:val="4"/>
            <w:vAlign w:val="center"/>
          </w:tcPr>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设置一般固废暂存区1处、危废库1座，危险废物暂存库应严格按照《危险废物贮存污染控制标准》（GB18597-2001）及其修改单的要求设计；按照《危险废物产生单位管理计划制定指南》的规定，制定危险废物管理计划，原则上管理计划按年度制定，并存档5年以上，建立危险废物台账，如实记载产生危险废物的种类、数量、流向、贮存、利用处置等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土壤及地下水污染防治措施</w:t>
            </w:r>
          </w:p>
        </w:tc>
        <w:tc>
          <w:tcPr>
            <w:tcW w:w="7737" w:type="dxa"/>
            <w:gridSpan w:val="4"/>
            <w:vAlign w:val="center"/>
          </w:tcPr>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采取分区防渗措施，危废间、生产车间液体物料暂存区按照重点污染防治区进行防渗，装置区、一般固废暂存区等按照一般污染防治区进行防渗。为防止项目建成运营后对周围地下水、土壤环境造成污染，企业应加强对生产设施的管理和维护；制定环境管理制度，强化风险防范意识，加强环境保护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生态保护措施</w:t>
            </w:r>
          </w:p>
        </w:tc>
        <w:tc>
          <w:tcPr>
            <w:tcW w:w="7737" w:type="dxa"/>
            <w:gridSpan w:val="4"/>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加强绿化带的绿化，建设整洁、优美的厂区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环境风险</w:t>
            </w:r>
          </w:p>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防范措施</w:t>
            </w:r>
          </w:p>
        </w:tc>
        <w:tc>
          <w:tcPr>
            <w:tcW w:w="7737" w:type="dxa"/>
            <w:gridSpan w:val="4"/>
            <w:vAlign w:val="center"/>
          </w:tcPr>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消除和控制明火源：在车间内，有醒目的严禁烟火标志，严禁动火吸烟；进入危险区的机动车辆，其排气管应戴防火帽；进入危险区的人员，按规定登记，严禁携带火柴、打火机等；使用气焊、电焊等设备时，采取防护措施，确保安全无误后，方可动火作业。动火过程中，必须遵守安全技术规程。</w:t>
            </w:r>
          </w:p>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（2）按照《建筑灭火器配置设计规范》（GB50140-2005）规定，配置相应类型和数量的灭火器（干粉灭火器等），并在火灾危险场所设置报警装置。</w:t>
            </w:r>
          </w:p>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（3）原料和产品的使用、储存、运输、管理要按照国家标准和要求，进行设计、施工、运行，设置卫生应急措施，减少对环境、人员产生影响。</w:t>
            </w:r>
          </w:p>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（4）总图布置严格执行国家有关部门现行的设计规范、规定及标准。各生产装置之间严格按防火防爆间距布置，厂房及建筑物按规定等级设计。</w:t>
            </w:r>
          </w:p>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（5）电气和仪表专业设计按照《爆炸危险环境电力装置设计规范》</w:t>
            </w:r>
            <w:r>
              <w:rPr>
                <w:rFonts w:hint="eastAsia" w:cs="Times New Roman"/>
                <w:kern w:val="0"/>
                <w:szCs w:val="21"/>
                <w:lang w:eastAsia="zh-CN"/>
              </w:rPr>
              <w:t>（</w:t>
            </w:r>
            <w:r>
              <w:rPr>
                <w:rFonts w:hint="default" w:ascii="Times New Roman" w:hAnsi="Times New Roman" w:eastAsia="宋体" w:cs="Times New Roman"/>
                <w:kern w:val="0"/>
                <w:szCs w:val="21"/>
              </w:rPr>
              <w:t>GB5008-2014）执行，将能产生电火花的设备放在远离现场的配电室内，并采用密闭电器。</w:t>
            </w:r>
          </w:p>
          <w:p>
            <w:pPr>
              <w:adjustRightInd w:val="0"/>
              <w:snapToGrid w:val="0"/>
              <w:ind w:firstLine="420" w:firstLineChars="200"/>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（6）全厂依据原料和产品的生产、输送、储存等环节分为重点污染防治区、一般污染防治区和非污染防治区。</w:t>
            </w:r>
          </w:p>
          <w:p>
            <w:pPr>
              <w:adjustRightInd w:val="0"/>
              <w:snapToGrid w:val="0"/>
              <w:ind w:firstLine="420" w:firstLineChars="20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（7）在开展环境风险评估与应急资源调查的基础上，编制环境风险应急预案，并定期演练。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3" w:type="dxa"/>
            <w:vAlign w:val="center"/>
          </w:tcPr>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其他环境</w:t>
            </w:r>
          </w:p>
          <w:p>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管理要求</w:t>
            </w:r>
          </w:p>
        </w:tc>
        <w:tc>
          <w:tcPr>
            <w:tcW w:w="7737" w:type="dxa"/>
            <w:gridSpan w:val="4"/>
            <w:vAlign w:val="center"/>
          </w:tcPr>
          <w:p>
            <w:pPr>
              <w:keepNext w:val="0"/>
              <w:keepLines w:val="0"/>
              <w:pageBreakBefore w:val="0"/>
              <w:numPr>
                <w:ilvl w:val="0"/>
                <w:numId w:val="8"/>
              </w:numP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环境保护管理体系</w:t>
            </w:r>
          </w:p>
          <w:p>
            <w:pPr>
              <w:keepNext w:val="0"/>
              <w:keepLines w:val="0"/>
              <w:pageBreakBefore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为做好环境管理工作，公司应建立环境管理体系，将环境管理工作自上而下地贯穿到公司的生产管理中。</w:t>
            </w:r>
          </w:p>
          <w:p>
            <w:pPr>
              <w:keepNext w:val="0"/>
              <w:keepLines w:val="0"/>
              <w:pageBreakBefore w:val="0"/>
              <w:numPr>
                <w:ilvl w:val="0"/>
                <w:numId w:val="8"/>
              </w:numP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环境管理规章制度</w:t>
            </w:r>
          </w:p>
          <w:p>
            <w:pPr>
              <w:keepNext w:val="0"/>
              <w:keepLines w:val="0"/>
              <w:pageBreakBefore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建立和完善环境管理制度，是公司环境管理体系的重要组成部分，需建立的环境管理制度。</w:t>
            </w:r>
          </w:p>
          <w:p>
            <w:pPr>
              <w:keepNext w:val="0"/>
              <w:keepLines w:val="0"/>
              <w:pageBreakBefore w:val="0"/>
              <w:numPr>
                <w:ilvl w:val="0"/>
                <w:numId w:val="8"/>
              </w:numP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设置环境保护标识企业应制定环境管理文件及实施细则，按照《排污口规范化整治技术要求（试行）》、《关于开展排放口规范化整治工作的通知》等文件中有关规定设置与管理噪声与固废排放，噪声排放源、固体废物贮存（处置）场图形符号分别为提示图形符号和警告图形符号两种，图形符号的设置GB15562.1-1995、GB15562.2-1995执行。</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kern w:val="0"/>
                <w:sz w:val="21"/>
                <w:szCs w:val="16"/>
              </w:rPr>
            </w:pPr>
            <w:r>
              <w:rPr>
                <w:rFonts w:hint="default" w:ascii="Times New Roman" w:hAnsi="Times New Roman" w:eastAsia="宋体" w:cs="Times New Roman"/>
                <w:b/>
                <w:bCs/>
                <w:kern w:val="0"/>
                <w:sz w:val="21"/>
                <w:szCs w:val="16"/>
              </w:rPr>
              <w:t>表</w:t>
            </w:r>
            <w:r>
              <w:rPr>
                <w:rFonts w:hint="eastAsia" w:ascii="Times New Roman" w:hAnsi="Times New Roman" w:eastAsia="宋体" w:cs="Times New Roman"/>
                <w:b/>
                <w:bCs/>
                <w:kern w:val="0"/>
                <w:sz w:val="21"/>
                <w:szCs w:val="16"/>
                <w:lang w:val="en-US" w:eastAsia="zh-CN"/>
              </w:rPr>
              <w:t>5-1</w:t>
            </w:r>
            <w:r>
              <w:rPr>
                <w:rFonts w:hint="default" w:ascii="Times New Roman" w:hAnsi="Times New Roman" w:eastAsia="宋体" w:cs="Times New Roman"/>
                <w:b/>
                <w:bCs/>
                <w:kern w:val="0"/>
                <w:sz w:val="21"/>
                <w:szCs w:val="16"/>
                <w:lang w:val="en-US" w:eastAsia="zh-CN"/>
              </w:rPr>
              <w:t xml:space="preserve"> </w:t>
            </w:r>
            <w:r>
              <w:rPr>
                <w:rFonts w:hint="default" w:ascii="Times New Roman" w:hAnsi="Times New Roman" w:eastAsia="宋体" w:cs="Times New Roman"/>
                <w:b/>
                <w:bCs/>
                <w:kern w:val="0"/>
                <w:sz w:val="21"/>
                <w:szCs w:val="16"/>
              </w:rPr>
              <w:t xml:space="preserve"> 排放口环境保护标志</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2497"/>
              <w:gridCol w:w="24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提示标志</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警告标志</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警告标志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正方形</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三角形</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三角形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绿底白图</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黄底黑图</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黄底黑图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876300" cy="790575"/>
                        <wp:effectExtent l="0" t="0" r="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7"/>
                                <a:stretch>
                                  <a:fillRect/>
                                </a:stretch>
                              </pic:blipFill>
                              <pic:spPr>
                                <a:xfrm>
                                  <a:off x="0" y="0"/>
                                  <a:ext cx="876300" cy="790575"/>
                                </a:xfrm>
                                <a:prstGeom prst="rect">
                                  <a:avLst/>
                                </a:prstGeom>
                                <a:noFill/>
                                <a:ln>
                                  <a:noFill/>
                                </a:ln>
                              </pic:spPr>
                            </pic:pic>
                          </a:graphicData>
                        </a:graphic>
                      </wp:inline>
                    </w:drawing>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904875" cy="771525"/>
                        <wp:effectExtent l="0" t="0" r="952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904875" cy="771525"/>
                                </a:xfrm>
                                <a:prstGeom prst="rect">
                                  <a:avLst/>
                                </a:prstGeom>
                                <a:noFill/>
                                <a:ln>
                                  <a:noFill/>
                                </a:ln>
                              </pic:spPr>
                            </pic:pic>
                          </a:graphicData>
                        </a:graphic>
                      </wp:inline>
                    </w:drawing>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933450" cy="752475"/>
                        <wp:effectExtent l="0" t="0" r="0"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933450" cy="75247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噪声排放源</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噪声排放源</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废气排放口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866775" cy="790575"/>
                        <wp:effectExtent l="0" t="0" r="9525"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0"/>
                                <a:stretch>
                                  <a:fillRect/>
                                </a:stretch>
                              </pic:blipFill>
                              <pic:spPr>
                                <a:xfrm>
                                  <a:off x="0" y="0"/>
                                  <a:ext cx="866775" cy="790575"/>
                                </a:xfrm>
                                <a:prstGeom prst="rect">
                                  <a:avLst/>
                                </a:prstGeom>
                                <a:noFill/>
                                <a:ln>
                                  <a:noFill/>
                                </a:ln>
                              </pic:spPr>
                            </pic:pic>
                          </a:graphicData>
                        </a:graphic>
                      </wp:inline>
                    </w:drawing>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838200" cy="80010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838200" cy="800100"/>
                                </a:xfrm>
                                <a:prstGeom prst="rect">
                                  <a:avLst/>
                                </a:prstGeom>
                                <a:noFill/>
                                <a:ln>
                                  <a:noFill/>
                                </a:ln>
                              </pic:spPr>
                            </pic:pic>
                          </a:graphicData>
                        </a:graphic>
                      </wp:inline>
                    </w:drawing>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drawing>
                      <wp:inline distT="0" distB="0" distL="114300" distR="114300">
                        <wp:extent cx="990600" cy="874395"/>
                        <wp:effectExtent l="0" t="0" r="0" b="190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2"/>
                                <a:stretch>
                                  <a:fillRect/>
                                </a:stretch>
                              </pic:blipFill>
                              <pic:spPr>
                                <a:xfrm>
                                  <a:off x="0" y="0"/>
                                  <a:ext cx="990600" cy="87439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一般固体废物</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一般固体废物</w:t>
                  </w:r>
                </w:p>
              </w:tc>
              <w:tc>
                <w:tcPr>
                  <w:tcW w:w="1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危险废物</w:t>
                  </w:r>
                </w:p>
              </w:tc>
            </w:tr>
          </w:tbl>
          <w:p>
            <w:pPr>
              <w:keepNext w:val="0"/>
              <w:keepLines w:val="0"/>
              <w:pageBreakBefore w:val="0"/>
              <w:numPr>
                <w:ilvl w:val="0"/>
                <w:numId w:val="8"/>
              </w:numPr>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建设项目竣工环境保护验收</w:t>
            </w:r>
          </w:p>
          <w:p>
            <w:pPr>
              <w:keepNext w:val="0"/>
              <w:keepLines w:val="0"/>
              <w:pageBreakBefore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根据《建设项目环境保护管理条例》要求，编制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编制环境影响报告表的建设项目，其配套建设的环境保护设施经验收合格，方可投入生产或者使用；未经验收或者验收不合格的，不得投入生产或者使用。</w:t>
            </w:r>
          </w:p>
          <w:p>
            <w:pPr>
              <w:keepNext w:val="0"/>
              <w:keepLines w:val="0"/>
              <w:pageBreakBefore w:val="0"/>
              <w:widowControl/>
              <w:kinsoku/>
              <w:wordWrap/>
              <w:overflowPunct/>
              <w:topLinePunct w:val="0"/>
              <w:autoSpaceDE/>
              <w:autoSpaceDN/>
              <w:bidi w:val="0"/>
              <w:ind w:firstLine="420" w:firstLineChars="200"/>
              <w:jc w:val="both"/>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5、按照《排污许可管理条例》、《山东省生态环境厅关于加强排污许可管理工作的通知》（鲁环函</w:t>
            </w:r>
            <w:r>
              <w:rPr>
                <w:rFonts w:hint="eastAsia" w:cs="Times New Roman"/>
                <w:kern w:val="0"/>
                <w:szCs w:val="21"/>
                <w:lang w:eastAsia="zh-CN"/>
              </w:rPr>
              <w:t>〔</w:t>
            </w:r>
            <w:r>
              <w:rPr>
                <w:rFonts w:hint="default" w:ascii="Times New Roman" w:hAnsi="Times New Roman" w:eastAsia="宋体" w:cs="Times New Roman"/>
                <w:kern w:val="0"/>
                <w:szCs w:val="21"/>
              </w:rPr>
              <w:t>2020</w:t>
            </w:r>
            <w:r>
              <w:rPr>
                <w:rFonts w:hint="eastAsia" w:cs="Times New Roman"/>
                <w:kern w:val="0"/>
                <w:szCs w:val="21"/>
                <w:lang w:eastAsia="zh-CN"/>
              </w:rPr>
              <w:t>〕</w:t>
            </w:r>
            <w:r>
              <w:rPr>
                <w:rFonts w:hint="default" w:ascii="Times New Roman" w:hAnsi="Times New Roman" w:eastAsia="宋体" w:cs="Times New Roman"/>
                <w:kern w:val="0"/>
                <w:szCs w:val="21"/>
              </w:rPr>
              <w:t>14号）和《固定污染源排污许可分类管理名录》（2019年版）要求，项目属于“二十五、非金属矿物制品业30，66玻璃制品制造</w:t>
            </w:r>
            <w:r>
              <w:rPr>
                <w:rFonts w:hint="default" w:ascii="Times New Roman" w:hAnsi="Times New Roman" w:eastAsia="宋体" w:cs="Times New Roman"/>
                <w:kern w:val="0"/>
                <w:szCs w:val="21"/>
                <w:lang w:bidi="ar"/>
              </w:rPr>
              <w:t>以天然气为燃料的</w:t>
            </w:r>
            <w:r>
              <w:rPr>
                <w:rFonts w:hint="default" w:ascii="Times New Roman" w:hAnsi="Times New Roman" w:eastAsia="宋体" w:cs="Times New Roman"/>
                <w:kern w:val="0"/>
                <w:szCs w:val="21"/>
              </w:rPr>
              <w:t>”类，属于简化管理，企业应当在</w:t>
            </w:r>
            <w:r>
              <w:rPr>
                <w:rFonts w:hint="eastAsia" w:ascii="Times New Roman" w:hAnsi="Times New Roman" w:eastAsia="宋体" w:cs="Times New Roman"/>
                <w:kern w:val="0"/>
                <w:szCs w:val="21"/>
                <w:lang w:eastAsia="zh-CN"/>
              </w:rPr>
              <w:t>技改项目</w:t>
            </w:r>
            <w:r>
              <w:rPr>
                <w:rFonts w:hint="default" w:ascii="Times New Roman" w:hAnsi="Times New Roman" w:eastAsia="宋体" w:cs="Times New Roman"/>
                <w:kern w:val="0"/>
                <w:szCs w:val="21"/>
              </w:rPr>
              <w:t>投入生产或使用并产生实际排污行为之前完成排污许可证</w:t>
            </w:r>
            <w:r>
              <w:rPr>
                <w:rFonts w:hint="default" w:ascii="Times New Roman" w:hAnsi="Times New Roman" w:eastAsia="宋体" w:cs="Times New Roman"/>
                <w:kern w:val="0"/>
                <w:szCs w:val="21"/>
                <w:lang w:eastAsia="zh-CN"/>
              </w:rPr>
              <w:t>变更</w:t>
            </w:r>
            <w:r>
              <w:rPr>
                <w:rFonts w:hint="default" w:ascii="Times New Roman" w:hAnsi="Times New Roman" w:eastAsia="宋体" w:cs="Times New Roman"/>
                <w:kern w:val="0"/>
                <w:szCs w:val="21"/>
              </w:rPr>
              <w:t>。</w:t>
            </w:r>
          </w:p>
        </w:tc>
      </w:tr>
    </w:tbl>
    <w:p>
      <w:pPr>
        <w:pStyle w:val="17"/>
        <w:jc w:val="center"/>
        <w:outlineLvl w:val="0"/>
        <w:rPr>
          <w:rFonts w:hint="default" w:ascii="Times New Roman" w:hAnsi="Times New Roman" w:eastAsia="宋体" w:cs="Times New Roman"/>
          <w:snapToGrid w:val="0"/>
          <w:kern w:val="0"/>
          <w:sz w:val="30"/>
          <w:szCs w:val="30"/>
        </w:rPr>
      </w:pPr>
      <w:r>
        <w:rPr>
          <w:rFonts w:hint="default" w:ascii="Times New Roman" w:hAnsi="Times New Roman" w:eastAsia="宋体" w:cs="Times New Roman"/>
          <w:snapToGrid w:val="0"/>
          <w:kern w:val="0"/>
        </w:rPr>
        <w:br w:type="page"/>
      </w:r>
      <w:r>
        <w:rPr>
          <w:rFonts w:hint="default" w:ascii="Times New Roman" w:hAnsi="Times New Roman" w:eastAsia="宋体" w:cs="Times New Roman"/>
          <w:b/>
          <w:bCs/>
          <w:snapToGrid w:val="0"/>
          <w:kern w:val="0"/>
          <w:sz w:val="30"/>
          <w:szCs w:val="30"/>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tabs>
                <w:tab w:val="left" w:pos="6600"/>
              </w:tabs>
              <w:adjustRightInd w:val="0"/>
              <w:snapToGrid w:val="0"/>
              <w:spacing w:line="360" w:lineRule="auto"/>
              <w:jc w:val="center"/>
              <w:rPr>
                <w:rFonts w:hint="default" w:ascii="Times New Roman" w:hAnsi="Times New Roman" w:eastAsia="宋体" w:cs="Times New Roman"/>
                <w:b/>
                <w:bCs/>
                <w:kern w:val="0"/>
                <w:szCs w:val="21"/>
              </w:rPr>
            </w:pPr>
          </w:p>
          <w:p>
            <w:pPr>
              <w:adjustRightInd w:val="0"/>
              <w:snapToGrid w:val="0"/>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综上所述，技改项目符合国家</w:t>
            </w:r>
            <w:bookmarkStart w:id="6" w:name="_GoBack"/>
            <w:bookmarkEnd w:id="6"/>
            <w:r>
              <w:rPr>
                <w:rFonts w:hint="default" w:ascii="Times New Roman" w:hAnsi="Times New Roman" w:eastAsia="宋体" w:cs="Times New Roman"/>
                <w:kern w:val="0"/>
                <w:sz w:val="24"/>
              </w:rPr>
              <w:t>产业政策，符合《山东省生态保护红线规划（2016-2020年）》要求，符合"三线一单"管控要求；项目选址合理；项目采取的环境保护措施、风险防控措施技术可靠、经济可行，各种污染物排放浓度、排放量均能够满足相应标准要求，在治污设施连续、稳定运行，风险防控措施严格落实的前提下，项目建设及运行对当地环境空气、地表水、地下水、声环境质量的影响较小。在落实本报告所提出的各项污染防治和风险防控措施后，从环境保护角度分析，项目的建设是可行的。</w:t>
            </w:r>
          </w:p>
          <w:p>
            <w:pPr>
              <w:spacing w:line="360" w:lineRule="auto"/>
              <w:jc w:val="center"/>
              <w:rPr>
                <w:rFonts w:hint="default" w:ascii="Times New Roman" w:hAnsi="Times New Roman" w:eastAsia="宋体" w:cs="Times New Roman"/>
                <w:kern w:val="0"/>
                <w:szCs w:val="21"/>
              </w:rPr>
            </w:pPr>
          </w:p>
        </w:tc>
      </w:tr>
    </w:tbl>
    <w:p>
      <w:pPr>
        <w:rPr>
          <w:rFonts w:hint="default" w:ascii="Times New Roman" w:hAnsi="Times New Roman" w:eastAsia="宋体" w:cs="Times New Roman"/>
          <w:kern w:val="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7"/>
        <w:adjustRightInd w:val="0"/>
        <w:snapToGrid w:val="0"/>
        <w:spacing w:before="0" w:beforeAutospacing="0" w:after="0" w:afterAutospacing="0"/>
        <w:outlineLvl w:val="0"/>
        <w:rPr>
          <w:rFonts w:hint="default" w:ascii="Times New Roman" w:hAnsi="Times New Roman" w:eastAsia="宋体" w:cs="Times New Roman"/>
          <w:snapToGrid w:val="0"/>
          <w:kern w:val="0"/>
          <w:sz w:val="32"/>
          <w:szCs w:val="32"/>
        </w:rPr>
      </w:pPr>
      <w:r>
        <w:rPr>
          <w:rFonts w:hint="default" w:ascii="Times New Roman" w:hAnsi="Times New Roman" w:eastAsia="宋体" w:cs="Times New Roman"/>
          <w:snapToGrid w:val="0"/>
          <w:kern w:val="0"/>
          <w:sz w:val="32"/>
          <w:szCs w:val="32"/>
        </w:rPr>
        <w:t>附表</w:t>
      </w:r>
    </w:p>
    <w:p>
      <w:pPr>
        <w:pStyle w:val="17"/>
        <w:adjustRightInd w:val="0"/>
        <w:snapToGrid w:val="0"/>
        <w:spacing w:before="0" w:beforeAutospacing="0" w:after="0" w:afterAutospacing="0"/>
        <w:jc w:val="center"/>
        <w:outlineLvl w:val="0"/>
        <w:rPr>
          <w:rFonts w:hint="default" w:ascii="Times New Roman" w:hAnsi="Times New Roman" w:eastAsia="宋体" w:cs="Times New Roman"/>
          <w:snapToGrid w:val="0"/>
          <w:kern w:val="0"/>
          <w:sz w:val="38"/>
          <w:szCs w:val="38"/>
        </w:rPr>
      </w:pPr>
      <w:r>
        <w:rPr>
          <w:rFonts w:hint="default" w:ascii="Times New Roman" w:hAnsi="Times New Roman" w:eastAsia="宋体" w:cs="Times New Roman"/>
          <w:snapToGrid w:val="0"/>
          <w:kern w:val="0"/>
          <w:sz w:val="38"/>
          <w:szCs w:val="38"/>
        </w:rPr>
        <w:t>建设项目污染物排放量汇总表</w:t>
      </w:r>
    </w:p>
    <w:tbl>
      <w:tblPr>
        <w:tblStyle w:val="18"/>
        <w:tblW w:w="138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713"/>
        <w:gridCol w:w="713"/>
        <w:gridCol w:w="1712"/>
        <w:gridCol w:w="1284"/>
        <w:gridCol w:w="1712"/>
        <w:gridCol w:w="1569"/>
        <w:gridCol w:w="1773"/>
        <w:gridCol w:w="1793"/>
        <w:gridCol w:w="10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598" w:type="dxa"/>
            <w:tcBorders>
              <w:tl2br w:val="single" w:color="auto" w:sz="4" w:space="0"/>
            </w:tcBorders>
            <w:tcMar>
              <w:left w:w="28" w:type="dxa"/>
              <w:right w:w="28" w:type="dxa"/>
            </w:tcMar>
            <w:vAlign w:val="center"/>
          </w:tcPr>
          <w:p>
            <w:pPr>
              <w:pStyle w:val="26"/>
              <w:spacing w:beforeLines="0" w:afterLines="0" w:line="240" w:lineRule="auto"/>
              <w:jc w:val="right"/>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项目</w:t>
            </w:r>
          </w:p>
          <w:p>
            <w:pPr>
              <w:pStyle w:val="26"/>
              <w:spacing w:beforeLines="0" w:afterLines="0" w:line="240" w:lineRule="auto"/>
              <w:jc w:val="left"/>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分类</w:t>
            </w:r>
          </w:p>
        </w:tc>
        <w:tc>
          <w:tcPr>
            <w:tcW w:w="1426" w:type="dxa"/>
            <w:gridSpan w:val="2"/>
            <w:tcMar>
              <w:left w:w="28" w:type="dxa"/>
              <w:right w:w="28" w:type="dxa"/>
            </w:tcMar>
            <w:vAlign w:val="center"/>
          </w:tcPr>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污染物名称</w:t>
            </w:r>
          </w:p>
        </w:tc>
        <w:tc>
          <w:tcPr>
            <w:tcW w:w="1712" w:type="dxa"/>
            <w:tcMar>
              <w:left w:w="28" w:type="dxa"/>
              <w:right w:w="28" w:type="dxa"/>
            </w:tcMar>
            <w:vAlign w:val="center"/>
          </w:tcPr>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现有工程</w:t>
            </w:r>
          </w:p>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排放量（固体废物产生量）</w:t>
            </w:r>
            <w:r>
              <w:rPr>
                <w:rFonts w:hint="default" w:ascii="Times New Roman" w:hAnsi="Times New Roman" w:eastAsia="宋体" w:cs="Times New Roman"/>
                <w:b/>
                <w:bCs/>
                <w:snapToGrid w:val="0"/>
                <w:color w:val="000000"/>
                <w:kern w:val="0"/>
                <w:szCs w:val="21"/>
              </w:rPr>
              <w:fldChar w:fldCharType="begin"/>
            </w:r>
            <w:r>
              <w:rPr>
                <w:rFonts w:hint="default" w:ascii="Times New Roman" w:hAnsi="Times New Roman" w:eastAsia="宋体" w:cs="Times New Roman"/>
                <w:b/>
                <w:bCs/>
                <w:snapToGrid w:val="0"/>
                <w:color w:val="000000"/>
                <w:kern w:val="0"/>
                <w:szCs w:val="21"/>
              </w:rPr>
              <w:instrText xml:space="preserve"> = 1 \* GB3 \* MERGEFORMAT </w:instrText>
            </w:r>
            <w:r>
              <w:rPr>
                <w:rFonts w:hint="default" w:ascii="Times New Roman" w:hAnsi="Times New Roman" w:eastAsia="宋体" w:cs="Times New Roman"/>
                <w:b/>
                <w:bCs/>
                <w:snapToGrid w:val="0"/>
                <w:color w:val="000000"/>
                <w:kern w:val="0"/>
                <w:szCs w:val="21"/>
              </w:rPr>
              <w:fldChar w:fldCharType="separate"/>
            </w:r>
            <w:r>
              <w:rPr>
                <w:rFonts w:hint="default" w:ascii="Times New Roman" w:hAnsi="Times New Roman" w:eastAsia="宋体" w:cs="Times New Roman"/>
                <w:b/>
                <w:bCs/>
                <w:kern w:val="0"/>
                <w:szCs w:val="21"/>
              </w:rPr>
              <w:t>①</w:t>
            </w:r>
            <w:r>
              <w:rPr>
                <w:rFonts w:hint="default" w:ascii="Times New Roman" w:hAnsi="Times New Roman" w:eastAsia="宋体" w:cs="Times New Roman"/>
                <w:b/>
                <w:bCs/>
                <w:snapToGrid w:val="0"/>
                <w:color w:val="000000"/>
                <w:kern w:val="0"/>
                <w:szCs w:val="21"/>
              </w:rPr>
              <w:fldChar w:fldCharType="end"/>
            </w:r>
          </w:p>
        </w:tc>
        <w:tc>
          <w:tcPr>
            <w:tcW w:w="1284" w:type="dxa"/>
            <w:tcMar>
              <w:left w:w="28" w:type="dxa"/>
              <w:right w:w="28" w:type="dxa"/>
            </w:tcMar>
            <w:vAlign w:val="center"/>
          </w:tcPr>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现有工程</w:t>
            </w:r>
          </w:p>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许可排放量</w:t>
            </w:r>
          </w:p>
          <w:p>
            <w:pPr>
              <w:pStyle w:val="26"/>
              <w:spacing w:beforeLines="0" w:afterLines="0"/>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fldChar w:fldCharType="begin"/>
            </w:r>
            <w:r>
              <w:rPr>
                <w:rFonts w:hint="default" w:ascii="Times New Roman" w:hAnsi="Times New Roman" w:eastAsia="宋体" w:cs="Times New Roman"/>
                <w:b/>
                <w:bCs/>
                <w:snapToGrid w:val="0"/>
                <w:color w:val="000000"/>
                <w:kern w:val="0"/>
                <w:szCs w:val="21"/>
              </w:rPr>
              <w:instrText xml:space="preserve"> = 2 \* GB3 \* MERGEFORMAT </w:instrText>
            </w:r>
            <w:r>
              <w:rPr>
                <w:rFonts w:hint="default" w:ascii="Times New Roman" w:hAnsi="Times New Roman" w:eastAsia="宋体" w:cs="Times New Roman"/>
                <w:b/>
                <w:bCs/>
                <w:snapToGrid w:val="0"/>
                <w:color w:val="000000"/>
                <w:kern w:val="0"/>
                <w:szCs w:val="21"/>
              </w:rPr>
              <w:fldChar w:fldCharType="separate"/>
            </w:r>
            <w:r>
              <w:rPr>
                <w:rFonts w:hint="default" w:ascii="Times New Roman" w:hAnsi="Times New Roman" w:eastAsia="宋体" w:cs="Times New Roman"/>
                <w:b/>
                <w:bCs/>
                <w:snapToGrid w:val="0"/>
                <w:color w:val="000000"/>
                <w:kern w:val="0"/>
                <w:szCs w:val="21"/>
              </w:rPr>
              <w:t>②</w:t>
            </w:r>
            <w:r>
              <w:rPr>
                <w:rFonts w:hint="default" w:ascii="Times New Roman" w:hAnsi="Times New Roman" w:eastAsia="宋体" w:cs="Times New Roman"/>
                <w:b/>
                <w:bCs/>
                <w:snapToGrid w:val="0"/>
                <w:color w:val="000000"/>
                <w:kern w:val="0"/>
                <w:szCs w:val="21"/>
              </w:rPr>
              <w:fldChar w:fldCharType="end"/>
            </w:r>
          </w:p>
        </w:tc>
        <w:tc>
          <w:tcPr>
            <w:tcW w:w="1712" w:type="dxa"/>
            <w:tcMar>
              <w:left w:w="28" w:type="dxa"/>
              <w:right w:w="28" w:type="dxa"/>
            </w:tcMar>
            <w:vAlign w:val="center"/>
          </w:tcPr>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在建工程</w:t>
            </w:r>
          </w:p>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排放量（固体废物产生量）</w:t>
            </w:r>
            <w:r>
              <w:rPr>
                <w:rFonts w:hint="default" w:ascii="Times New Roman" w:hAnsi="Times New Roman" w:eastAsia="宋体" w:cs="Times New Roman"/>
                <w:b/>
                <w:bCs/>
                <w:snapToGrid w:val="0"/>
                <w:color w:val="000000"/>
                <w:kern w:val="0"/>
                <w:szCs w:val="21"/>
              </w:rPr>
              <w:fldChar w:fldCharType="begin"/>
            </w:r>
            <w:r>
              <w:rPr>
                <w:rFonts w:hint="default" w:ascii="Times New Roman" w:hAnsi="Times New Roman" w:eastAsia="宋体" w:cs="Times New Roman"/>
                <w:b/>
                <w:bCs/>
                <w:snapToGrid w:val="0"/>
                <w:color w:val="000000"/>
                <w:kern w:val="0"/>
                <w:szCs w:val="21"/>
              </w:rPr>
              <w:instrText xml:space="preserve"> = 3 \* GB3 \* MERGEFORMAT </w:instrText>
            </w:r>
            <w:r>
              <w:rPr>
                <w:rFonts w:hint="default" w:ascii="Times New Roman" w:hAnsi="Times New Roman" w:eastAsia="宋体" w:cs="Times New Roman"/>
                <w:b/>
                <w:bCs/>
                <w:snapToGrid w:val="0"/>
                <w:color w:val="000000"/>
                <w:kern w:val="0"/>
                <w:szCs w:val="21"/>
              </w:rPr>
              <w:fldChar w:fldCharType="separate"/>
            </w:r>
            <w:r>
              <w:rPr>
                <w:rFonts w:hint="default" w:ascii="Times New Roman" w:hAnsi="Times New Roman" w:eastAsia="宋体" w:cs="Times New Roman"/>
                <w:b/>
                <w:bCs/>
                <w:kern w:val="0"/>
                <w:szCs w:val="21"/>
              </w:rPr>
              <w:t>③</w:t>
            </w:r>
            <w:r>
              <w:rPr>
                <w:rFonts w:hint="default" w:ascii="Times New Roman" w:hAnsi="Times New Roman" w:eastAsia="宋体" w:cs="Times New Roman"/>
                <w:b/>
                <w:bCs/>
                <w:snapToGrid w:val="0"/>
                <w:color w:val="000000"/>
                <w:kern w:val="0"/>
                <w:szCs w:val="21"/>
              </w:rPr>
              <w:fldChar w:fldCharType="end"/>
            </w:r>
          </w:p>
        </w:tc>
        <w:tc>
          <w:tcPr>
            <w:tcW w:w="1569" w:type="dxa"/>
            <w:tcMar>
              <w:left w:w="28" w:type="dxa"/>
              <w:right w:w="28" w:type="dxa"/>
            </w:tcMar>
            <w:vAlign w:val="center"/>
          </w:tcPr>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本项目</w:t>
            </w:r>
          </w:p>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排放量（固体废物产生量）</w:t>
            </w:r>
            <w:r>
              <w:rPr>
                <w:rFonts w:hint="default" w:ascii="Times New Roman" w:hAnsi="Times New Roman" w:eastAsia="宋体" w:cs="Times New Roman"/>
                <w:b/>
                <w:bCs/>
                <w:snapToGrid w:val="0"/>
                <w:color w:val="000000"/>
                <w:kern w:val="0"/>
                <w:szCs w:val="21"/>
              </w:rPr>
              <w:fldChar w:fldCharType="begin"/>
            </w:r>
            <w:r>
              <w:rPr>
                <w:rFonts w:hint="default" w:ascii="Times New Roman" w:hAnsi="Times New Roman" w:eastAsia="宋体" w:cs="Times New Roman"/>
                <w:b/>
                <w:bCs/>
                <w:snapToGrid w:val="0"/>
                <w:color w:val="000000"/>
                <w:kern w:val="0"/>
                <w:szCs w:val="21"/>
              </w:rPr>
              <w:instrText xml:space="preserve"> = 4 \* GB3 \* MERGEFORMAT </w:instrText>
            </w:r>
            <w:r>
              <w:rPr>
                <w:rFonts w:hint="default" w:ascii="Times New Roman" w:hAnsi="Times New Roman" w:eastAsia="宋体" w:cs="Times New Roman"/>
                <w:b/>
                <w:bCs/>
                <w:snapToGrid w:val="0"/>
                <w:color w:val="000000"/>
                <w:kern w:val="0"/>
                <w:szCs w:val="21"/>
              </w:rPr>
              <w:fldChar w:fldCharType="separate"/>
            </w:r>
            <w:r>
              <w:rPr>
                <w:rFonts w:hint="default" w:ascii="Times New Roman" w:hAnsi="Times New Roman" w:eastAsia="宋体" w:cs="Times New Roman"/>
                <w:b/>
                <w:bCs/>
                <w:kern w:val="0"/>
                <w:szCs w:val="21"/>
              </w:rPr>
              <w:t>④</w:t>
            </w:r>
            <w:r>
              <w:rPr>
                <w:rFonts w:hint="default" w:ascii="Times New Roman" w:hAnsi="Times New Roman" w:eastAsia="宋体" w:cs="Times New Roman"/>
                <w:b/>
                <w:bCs/>
                <w:snapToGrid w:val="0"/>
                <w:color w:val="000000"/>
                <w:kern w:val="0"/>
                <w:szCs w:val="21"/>
              </w:rPr>
              <w:fldChar w:fldCharType="end"/>
            </w:r>
          </w:p>
        </w:tc>
        <w:tc>
          <w:tcPr>
            <w:tcW w:w="1773" w:type="dxa"/>
            <w:tcMar>
              <w:left w:w="28" w:type="dxa"/>
              <w:right w:w="28" w:type="dxa"/>
            </w:tcMar>
            <w:vAlign w:val="center"/>
          </w:tcPr>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以新带老削减量</w:t>
            </w:r>
          </w:p>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（新建项目不填）</w:t>
            </w:r>
            <w:r>
              <w:rPr>
                <w:rFonts w:hint="default" w:ascii="Times New Roman" w:hAnsi="Times New Roman" w:eastAsia="宋体" w:cs="Times New Roman"/>
                <w:b/>
                <w:bCs/>
                <w:snapToGrid w:val="0"/>
                <w:color w:val="000000"/>
                <w:kern w:val="0"/>
                <w:szCs w:val="21"/>
              </w:rPr>
              <w:fldChar w:fldCharType="begin"/>
            </w:r>
            <w:r>
              <w:rPr>
                <w:rFonts w:hint="default" w:ascii="Times New Roman" w:hAnsi="Times New Roman" w:eastAsia="宋体" w:cs="Times New Roman"/>
                <w:b/>
                <w:bCs/>
                <w:snapToGrid w:val="0"/>
                <w:color w:val="000000"/>
                <w:kern w:val="0"/>
                <w:szCs w:val="21"/>
              </w:rPr>
              <w:instrText xml:space="preserve"> = 5 \* GB3 \* MERGEFORMAT </w:instrText>
            </w:r>
            <w:r>
              <w:rPr>
                <w:rFonts w:hint="default" w:ascii="Times New Roman" w:hAnsi="Times New Roman" w:eastAsia="宋体" w:cs="Times New Roman"/>
                <w:b/>
                <w:bCs/>
                <w:snapToGrid w:val="0"/>
                <w:color w:val="000000"/>
                <w:kern w:val="0"/>
                <w:szCs w:val="21"/>
              </w:rPr>
              <w:fldChar w:fldCharType="separate"/>
            </w:r>
            <w:r>
              <w:rPr>
                <w:rFonts w:hint="default" w:ascii="Times New Roman" w:hAnsi="Times New Roman" w:eastAsia="宋体" w:cs="Times New Roman"/>
                <w:b/>
                <w:bCs/>
                <w:kern w:val="0"/>
                <w:szCs w:val="21"/>
              </w:rPr>
              <w:t>⑤</w:t>
            </w:r>
            <w:r>
              <w:rPr>
                <w:rFonts w:hint="default" w:ascii="Times New Roman" w:hAnsi="Times New Roman" w:eastAsia="宋体" w:cs="Times New Roman"/>
                <w:b/>
                <w:bCs/>
                <w:snapToGrid w:val="0"/>
                <w:color w:val="000000"/>
                <w:kern w:val="0"/>
                <w:szCs w:val="21"/>
              </w:rPr>
              <w:fldChar w:fldCharType="end"/>
            </w:r>
          </w:p>
        </w:tc>
        <w:tc>
          <w:tcPr>
            <w:tcW w:w="1793" w:type="dxa"/>
            <w:tcMar>
              <w:left w:w="28" w:type="dxa"/>
              <w:right w:w="28" w:type="dxa"/>
            </w:tcMar>
            <w:vAlign w:val="center"/>
          </w:tcPr>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本项目建成后</w:t>
            </w:r>
          </w:p>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全厂排放量（固体废物产生量）</w:t>
            </w:r>
            <w:r>
              <w:rPr>
                <w:rFonts w:hint="default" w:ascii="Times New Roman" w:hAnsi="Times New Roman" w:eastAsia="宋体" w:cs="Times New Roman"/>
                <w:b/>
                <w:bCs/>
                <w:snapToGrid w:val="0"/>
                <w:color w:val="000000"/>
                <w:kern w:val="0"/>
                <w:szCs w:val="21"/>
              </w:rPr>
              <w:fldChar w:fldCharType="begin"/>
            </w:r>
            <w:r>
              <w:rPr>
                <w:rFonts w:hint="default" w:ascii="Times New Roman" w:hAnsi="Times New Roman" w:eastAsia="宋体" w:cs="Times New Roman"/>
                <w:b/>
                <w:bCs/>
                <w:snapToGrid w:val="0"/>
                <w:color w:val="000000"/>
                <w:kern w:val="0"/>
                <w:szCs w:val="21"/>
              </w:rPr>
              <w:instrText xml:space="preserve"> = 6 \* GB3 \* MERGEFORMAT </w:instrText>
            </w:r>
            <w:r>
              <w:rPr>
                <w:rFonts w:hint="default" w:ascii="Times New Roman" w:hAnsi="Times New Roman" w:eastAsia="宋体" w:cs="Times New Roman"/>
                <w:b/>
                <w:bCs/>
                <w:snapToGrid w:val="0"/>
                <w:color w:val="000000"/>
                <w:kern w:val="0"/>
                <w:szCs w:val="21"/>
              </w:rPr>
              <w:fldChar w:fldCharType="separate"/>
            </w:r>
            <w:r>
              <w:rPr>
                <w:rFonts w:hint="default" w:ascii="Times New Roman" w:hAnsi="Times New Roman" w:eastAsia="宋体" w:cs="Times New Roman"/>
                <w:b/>
                <w:bCs/>
                <w:kern w:val="0"/>
                <w:szCs w:val="21"/>
              </w:rPr>
              <w:t>⑥</w:t>
            </w:r>
            <w:r>
              <w:rPr>
                <w:rFonts w:hint="default" w:ascii="Times New Roman" w:hAnsi="Times New Roman" w:eastAsia="宋体" w:cs="Times New Roman"/>
                <w:b/>
                <w:bCs/>
                <w:snapToGrid w:val="0"/>
                <w:color w:val="000000"/>
                <w:kern w:val="0"/>
                <w:szCs w:val="21"/>
              </w:rPr>
              <w:fldChar w:fldCharType="end"/>
            </w:r>
          </w:p>
        </w:tc>
        <w:tc>
          <w:tcPr>
            <w:tcW w:w="1009" w:type="dxa"/>
            <w:tcMar>
              <w:left w:w="28" w:type="dxa"/>
              <w:right w:w="28" w:type="dxa"/>
            </w:tcMar>
            <w:vAlign w:val="center"/>
          </w:tcPr>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t>变化量</w:t>
            </w:r>
          </w:p>
          <w:p>
            <w:pPr>
              <w:pStyle w:val="26"/>
              <w:spacing w:beforeLines="0" w:afterLines="0" w:line="240" w:lineRule="auto"/>
              <w:rPr>
                <w:rFonts w:hint="default" w:ascii="Times New Roman" w:hAnsi="Times New Roman" w:eastAsia="宋体" w:cs="Times New Roman"/>
                <w:b/>
                <w:bCs/>
                <w:snapToGrid w:val="0"/>
                <w:color w:val="000000"/>
                <w:kern w:val="0"/>
                <w:szCs w:val="21"/>
              </w:rPr>
            </w:pPr>
            <w:r>
              <w:rPr>
                <w:rFonts w:hint="default" w:ascii="Times New Roman" w:hAnsi="Times New Roman" w:eastAsia="宋体" w:cs="Times New Roman"/>
                <w:b/>
                <w:bCs/>
                <w:snapToGrid w:val="0"/>
                <w:color w:val="000000"/>
                <w:kern w:val="0"/>
                <w:szCs w:val="21"/>
              </w:rPr>
              <w:fldChar w:fldCharType="begin"/>
            </w:r>
            <w:r>
              <w:rPr>
                <w:rFonts w:hint="default" w:ascii="Times New Roman" w:hAnsi="Times New Roman" w:eastAsia="宋体" w:cs="Times New Roman"/>
                <w:b/>
                <w:bCs/>
                <w:snapToGrid w:val="0"/>
                <w:color w:val="000000"/>
                <w:kern w:val="0"/>
                <w:szCs w:val="21"/>
              </w:rPr>
              <w:instrText xml:space="preserve"> = 7 \* GB3 \* MERGEFORMAT </w:instrText>
            </w:r>
            <w:r>
              <w:rPr>
                <w:rFonts w:hint="default" w:ascii="Times New Roman" w:hAnsi="Times New Roman" w:eastAsia="宋体" w:cs="Times New Roman"/>
                <w:b/>
                <w:bCs/>
                <w:snapToGrid w:val="0"/>
                <w:color w:val="000000"/>
                <w:kern w:val="0"/>
                <w:szCs w:val="21"/>
              </w:rPr>
              <w:fldChar w:fldCharType="separate"/>
            </w:r>
            <w:r>
              <w:rPr>
                <w:rFonts w:hint="default" w:ascii="Times New Roman" w:hAnsi="Times New Roman" w:eastAsia="宋体" w:cs="Times New Roman"/>
                <w:b/>
                <w:bCs/>
                <w:kern w:val="0"/>
                <w:szCs w:val="21"/>
              </w:rPr>
              <w:t>⑦</w:t>
            </w:r>
            <w:r>
              <w:rPr>
                <w:rFonts w:hint="default" w:ascii="Times New Roman" w:hAnsi="Times New Roman" w:eastAsia="宋体" w:cs="Times New Roman"/>
                <w:b/>
                <w:bCs/>
                <w:snapToGrid w:val="0"/>
                <w:color w:val="000000"/>
                <w:kern w:val="0"/>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98" w:type="dxa"/>
            <w:vMerge w:val="restart"/>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废气</w:t>
            </w:r>
          </w:p>
        </w:tc>
        <w:tc>
          <w:tcPr>
            <w:tcW w:w="1426" w:type="dxa"/>
            <w:gridSpan w:val="2"/>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颗粒物</w:t>
            </w: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0.000218</w:t>
            </w:r>
            <w:r>
              <w:rPr>
                <w:rFonts w:hint="default" w:ascii="Times New Roman" w:hAnsi="Times New Roman" w:eastAsia="宋体" w:cs="Times New Roman"/>
                <w:color w:val="000000"/>
                <w:kern w:val="0"/>
                <w:szCs w:val="21"/>
              </w:rPr>
              <w:t>t/a</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r>
              <w:rPr>
                <w:rFonts w:hint="default"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cs="Times New Roman"/>
                <w:color w:val="000000"/>
                <w:kern w:val="0"/>
                <w:szCs w:val="21"/>
                <w:lang w:eastAsia="zh-CN"/>
              </w:rPr>
              <w:t>0.0013</w:t>
            </w:r>
            <w:r>
              <w:rPr>
                <w:rFonts w:hint="default" w:ascii="Times New Roman" w:hAnsi="Times New Roman" w:eastAsia="宋体" w:cs="Times New Roman"/>
                <w:color w:val="000000"/>
                <w:kern w:val="0"/>
                <w:szCs w:val="21"/>
              </w:rPr>
              <w:t>t/a</w:t>
            </w:r>
          </w:p>
        </w:tc>
        <w:tc>
          <w:tcPr>
            <w:tcW w:w="1773" w:type="dxa"/>
            <w:vAlign w:val="center"/>
          </w:tcPr>
          <w:p>
            <w:pPr>
              <w:adjustRightInd w:val="0"/>
              <w:snapToGrid w:val="0"/>
              <w:jc w:val="center"/>
              <w:rPr>
                <w:rFonts w:hint="default"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0.000218</w:t>
            </w:r>
            <w:r>
              <w:rPr>
                <w:rFonts w:hint="default" w:ascii="Times New Roman" w:hAnsi="Times New Roman" w:eastAsia="宋体" w:cs="Times New Roman"/>
                <w:color w:val="000000"/>
                <w:kern w:val="0"/>
                <w:szCs w:val="21"/>
              </w:rPr>
              <w:t>t/a</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cs="Times New Roman"/>
                <w:color w:val="000000"/>
                <w:kern w:val="0"/>
                <w:szCs w:val="21"/>
                <w:lang w:eastAsia="zh-CN"/>
              </w:rPr>
              <w:t>0.0013</w:t>
            </w:r>
            <w:r>
              <w:rPr>
                <w:rFonts w:hint="default" w:ascii="Times New Roman" w:hAnsi="Times New Roman" w:eastAsia="宋体" w:cs="Times New Roman"/>
                <w:color w:val="000000"/>
                <w:kern w:val="0"/>
                <w:szCs w:val="21"/>
              </w:rPr>
              <w:t>t/a</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w:t>
            </w:r>
            <w:r>
              <w:rPr>
                <w:rFonts w:hint="eastAsia" w:cs="Times New Roman"/>
                <w:color w:val="000000"/>
                <w:kern w:val="0"/>
                <w:szCs w:val="21"/>
                <w:lang w:eastAsia="zh-CN"/>
              </w:rPr>
              <w:t>0.001082</w:t>
            </w:r>
            <w:r>
              <w:rPr>
                <w:rFonts w:hint="default" w:ascii="Times New Roman" w:hAnsi="Times New Roman" w:eastAsia="宋体" w:cs="Times New Roman"/>
                <w:color w:val="000000"/>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426" w:type="dxa"/>
            <w:gridSpan w:val="2"/>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r>
              <w:rPr>
                <w:rFonts w:hint="default" w:ascii="Times New Roman" w:hAnsi="Times New Roman" w:eastAsia="宋体" w:cs="Times New Roman"/>
                <w:snapToGrid w:val="0"/>
                <w:color w:val="000000"/>
                <w:kern w:val="0"/>
                <w:szCs w:val="21"/>
                <w:lang w:val="en-US" w:eastAsia="zh-CN"/>
              </w:rPr>
              <w:t>0.00158</w:t>
            </w:r>
            <w:r>
              <w:rPr>
                <w:rFonts w:hint="default" w:ascii="Times New Roman" w:hAnsi="Times New Roman" w:eastAsia="宋体" w:cs="Times New Roman"/>
                <w:color w:val="000000"/>
                <w:kern w:val="0"/>
                <w:szCs w:val="21"/>
              </w:rPr>
              <w:t>t/a</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r>
              <w:rPr>
                <w:rFonts w:hint="default"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cs="Times New Roman"/>
                <w:color w:val="000000"/>
                <w:kern w:val="0"/>
                <w:szCs w:val="21"/>
                <w:lang w:eastAsia="zh-CN"/>
              </w:rPr>
              <w:t>0.0095</w:t>
            </w:r>
            <w:r>
              <w:rPr>
                <w:rFonts w:hint="default" w:ascii="Times New Roman" w:hAnsi="Times New Roman" w:eastAsia="宋体" w:cs="Times New Roman"/>
                <w:color w:val="000000"/>
                <w:kern w:val="0"/>
                <w:szCs w:val="21"/>
              </w:rPr>
              <w:t>t/a</w:t>
            </w:r>
          </w:p>
        </w:tc>
        <w:tc>
          <w:tcPr>
            <w:tcW w:w="1773" w:type="dxa"/>
            <w:vAlign w:val="center"/>
          </w:tcPr>
          <w:p>
            <w:pPr>
              <w:adjustRightInd w:val="0"/>
              <w:snapToGrid w:val="0"/>
              <w:jc w:val="center"/>
              <w:rPr>
                <w:rFonts w:hint="default"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0.00158</w:t>
            </w:r>
            <w:r>
              <w:rPr>
                <w:rFonts w:hint="default" w:ascii="Times New Roman" w:hAnsi="Times New Roman" w:eastAsia="宋体" w:cs="Times New Roman"/>
                <w:color w:val="000000"/>
                <w:kern w:val="0"/>
                <w:szCs w:val="21"/>
              </w:rPr>
              <w:t>t/a</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cs="Times New Roman"/>
                <w:color w:val="000000"/>
                <w:kern w:val="0"/>
                <w:szCs w:val="21"/>
                <w:lang w:eastAsia="zh-CN"/>
              </w:rPr>
              <w:t>0.0095</w:t>
            </w:r>
            <w:r>
              <w:rPr>
                <w:rFonts w:hint="default" w:ascii="Times New Roman" w:hAnsi="Times New Roman" w:eastAsia="宋体" w:cs="Times New Roman"/>
                <w:color w:val="000000"/>
                <w:kern w:val="0"/>
                <w:szCs w:val="21"/>
              </w:rPr>
              <w:t>t/a</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w:t>
            </w:r>
            <w:r>
              <w:rPr>
                <w:rFonts w:hint="eastAsia" w:cs="Times New Roman"/>
                <w:color w:val="000000"/>
                <w:kern w:val="0"/>
                <w:szCs w:val="21"/>
                <w:lang w:eastAsia="zh-CN"/>
              </w:rPr>
              <w:t>0.00792</w:t>
            </w:r>
            <w:r>
              <w:rPr>
                <w:rFonts w:hint="default" w:ascii="Times New Roman" w:hAnsi="Times New Roman" w:eastAsia="宋体" w:cs="Times New Roman"/>
                <w:color w:val="000000"/>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426" w:type="dxa"/>
            <w:gridSpan w:val="2"/>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kern w:val="0"/>
                <w:szCs w:val="21"/>
              </w:rPr>
              <w:t>NOx</w:t>
            </w: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0.01375</w:t>
            </w:r>
            <w:r>
              <w:rPr>
                <w:rFonts w:hint="default" w:ascii="Times New Roman" w:hAnsi="Times New Roman" w:eastAsia="宋体" w:cs="Times New Roman"/>
                <w:color w:val="000000"/>
                <w:kern w:val="0"/>
                <w:szCs w:val="21"/>
              </w:rPr>
              <w:t>t/a</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r>
              <w:rPr>
                <w:rFonts w:hint="default"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cs="Times New Roman"/>
                <w:color w:val="000000"/>
                <w:kern w:val="0"/>
                <w:szCs w:val="21"/>
                <w:lang w:eastAsia="zh-CN"/>
              </w:rPr>
              <w:t>0.0825</w:t>
            </w:r>
            <w:r>
              <w:rPr>
                <w:rFonts w:hint="default" w:ascii="Times New Roman" w:hAnsi="Times New Roman" w:eastAsia="宋体" w:cs="Times New Roman"/>
                <w:color w:val="000000"/>
                <w:kern w:val="0"/>
                <w:szCs w:val="21"/>
              </w:rPr>
              <w:t>t/a</w:t>
            </w:r>
          </w:p>
        </w:tc>
        <w:tc>
          <w:tcPr>
            <w:tcW w:w="1773" w:type="dxa"/>
            <w:vAlign w:val="center"/>
          </w:tcPr>
          <w:p>
            <w:pPr>
              <w:adjustRightInd w:val="0"/>
              <w:snapToGrid w:val="0"/>
              <w:jc w:val="center"/>
              <w:rPr>
                <w:rFonts w:hint="default"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0.01375</w:t>
            </w:r>
            <w:r>
              <w:rPr>
                <w:rFonts w:hint="default" w:ascii="Times New Roman" w:hAnsi="Times New Roman" w:eastAsia="宋体" w:cs="Times New Roman"/>
                <w:color w:val="000000"/>
                <w:kern w:val="0"/>
                <w:szCs w:val="21"/>
              </w:rPr>
              <w:t>t/a</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cs="Times New Roman"/>
                <w:color w:val="000000"/>
                <w:kern w:val="0"/>
                <w:szCs w:val="21"/>
                <w:lang w:eastAsia="zh-CN"/>
              </w:rPr>
              <w:t>0.0825</w:t>
            </w:r>
            <w:r>
              <w:rPr>
                <w:rFonts w:hint="default" w:ascii="Times New Roman" w:hAnsi="Times New Roman" w:eastAsia="宋体" w:cs="Times New Roman"/>
                <w:color w:val="000000"/>
                <w:kern w:val="0"/>
                <w:szCs w:val="21"/>
              </w:rPr>
              <w:t>t/a</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w:t>
            </w:r>
            <w:r>
              <w:rPr>
                <w:rFonts w:hint="eastAsia" w:cs="Times New Roman"/>
                <w:color w:val="000000"/>
                <w:kern w:val="0"/>
                <w:szCs w:val="21"/>
                <w:lang w:eastAsia="zh-CN"/>
              </w:rPr>
              <w:t>0.06875</w:t>
            </w:r>
            <w:r>
              <w:rPr>
                <w:rFonts w:hint="default" w:ascii="Times New Roman" w:hAnsi="Times New Roman" w:eastAsia="宋体" w:cs="Times New Roman"/>
                <w:color w:val="000000"/>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426" w:type="dxa"/>
            <w:gridSpan w:val="2"/>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VOCs</w:t>
            </w: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r>
              <w:rPr>
                <w:rFonts w:hint="default" w:ascii="Times New Roman" w:hAnsi="Times New Roman" w:eastAsia="宋体" w:cs="Times New Roman"/>
                <w:snapToGrid w:val="0"/>
                <w:color w:val="000000"/>
                <w:kern w:val="0"/>
                <w:szCs w:val="21"/>
                <w:lang w:val="en-US" w:eastAsia="zh-CN"/>
              </w:rPr>
              <w:t>0.0</w:t>
            </w:r>
            <w:r>
              <w:rPr>
                <w:rFonts w:hint="eastAsia" w:ascii="Times New Roman" w:cs="Times New Roman"/>
                <w:snapToGrid w:val="0"/>
                <w:color w:val="000000"/>
                <w:kern w:val="0"/>
                <w:szCs w:val="21"/>
                <w:lang w:val="en-US" w:eastAsia="zh-CN"/>
              </w:rPr>
              <w:t>19</w:t>
            </w:r>
            <w:r>
              <w:rPr>
                <w:rFonts w:hint="default" w:ascii="Times New Roman" w:hAnsi="Times New Roman" w:eastAsia="宋体" w:cs="Times New Roman"/>
                <w:snapToGrid w:val="0"/>
                <w:color w:val="000000"/>
                <w:kern w:val="0"/>
                <w:szCs w:val="21"/>
                <w:lang w:val="en-US" w:eastAsia="zh-CN"/>
              </w:rPr>
              <w:t>t/a</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lang w:val="en-US" w:eastAsia="zh-CN"/>
              </w:rPr>
            </w:pPr>
            <w:r>
              <w:rPr>
                <w:rFonts w:hint="default"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0</w:t>
            </w:r>
            <w:r>
              <w:rPr>
                <w:rFonts w:hint="default" w:ascii="Times New Roman" w:hAnsi="Times New Roman" w:eastAsia="宋体" w:cs="Times New Roman"/>
                <w:color w:val="000000"/>
                <w:kern w:val="0"/>
                <w:szCs w:val="21"/>
                <w:lang w:val="en-US" w:eastAsia="zh-CN"/>
              </w:rPr>
              <w:t>t/a</w:t>
            </w:r>
          </w:p>
        </w:tc>
        <w:tc>
          <w:tcPr>
            <w:tcW w:w="1773" w:type="dxa"/>
            <w:vAlign w:val="center"/>
          </w:tcPr>
          <w:p>
            <w:pPr>
              <w:adjustRightInd w:val="0"/>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000000"/>
                <w:kern w:val="0"/>
                <w:szCs w:val="21"/>
                <w:lang w:val="en-US" w:eastAsia="zh-CN"/>
              </w:rPr>
              <w:t>0.0</w:t>
            </w:r>
            <w:r>
              <w:rPr>
                <w:rFonts w:hint="eastAsia" w:cs="Times New Roman"/>
                <w:color w:val="000000"/>
                <w:kern w:val="0"/>
                <w:szCs w:val="21"/>
                <w:lang w:val="en-US" w:eastAsia="zh-CN"/>
              </w:rPr>
              <w:t>19</w:t>
            </w:r>
            <w:r>
              <w:rPr>
                <w:rFonts w:hint="default" w:ascii="Times New Roman" w:hAnsi="Times New Roman" w:eastAsia="宋体" w:cs="Times New Roman"/>
                <w:color w:val="000000"/>
                <w:kern w:val="0"/>
                <w:szCs w:val="21"/>
                <w:lang w:val="en-US" w:eastAsia="zh-CN"/>
              </w:rPr>
              <w:t>t/a</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cs="Times New Roman"/>
                <w:color w:val="000000"/>
                <w:kern w:val="0"/>
                <w:szCs w:val="21"/>
                <w:lang w:val="en-US" w:eastAsia="zh-CN"/>
              </w:rPr>
              <w:t>0</w:t>
            </w:r>
            <w:r>
              <w:rPr>
                <w:rFonts w:hint="default" w:ascii="Times New Roman" w:hAnsi="Times New Roman" w:eastAsia="宋体" w:cs="Times New Roman"/>
                <w:color w:val="000000"/>
                <w:kern w:val="0"/>
                <w:szCs w:val="21"/>
              </w:rPr>
              <w:t>t/a</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lang w:val="en-US" w:eastAsia="zh-CN"/>
              </w:rPr>
            </w:pPr>
            <w:r>
              <w:rPr>
                <w:rFonts w:hint="default" w:ascii="Times New Roman" w:hAnsi="Times New Roman" w:eastAsia="宋体" w:cs="Times New Roman"/>
                <w:color w:val="000000"/>
                <w:kern w:val="0"/>
                <w:szCs w:val="21"/>
                <w:lang w:val="en-US" w:eastAsia="zh-CN"/>
              </w:rPr>
              <w:t>-0.0</w:t>
            </w:r>
            <w:r>
              <w:rPr>
                <w:rFonts w:hint="eastAsia" w:cs="Times New Roman"/>
                <w:color w:val="000000"/>
                <w:kern w:val="0"/>
                <w:szCs w:val="21"/>
                <w:lang w:val="en-US" w:eastAsia="zh-CN"/>
              </w:rPr>
              <w:t>19</w:t>
            </w:r>
            <w:r>
              <w:rPr>
                <w:rFonts w:hint="default" w:ascii="Times New Roman" w:hAnsi="Times New Roman" w:eastAsia="宋体" w:cs="Times New Roman"/>
                <w:color w:val="000000"/>
                <w:kern w:val="0"/>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Merge w:val="restart"/>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废水</w:t>
            </w:r>
          </w:p>
        </w:tc>
        <w:tc>
          <w:tcPr>
            <w:tcW w:w="713" w:type="dxa"/>
            <w:vMerge w:val="restart"/>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生活污水</w:t>
            </w:r>
          </w:p>
        </w:tc>
        <w:tc>
          <w:tcPr>
            <w:tcW w:w="713"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COD</w:t>
            </w:r>
          </w:p>
        </w:tc>
        <w:tc>
          <w:tcPr>
            <w:tcW w:w="1712" w:type="dxa"/>
            <w:vAlign w:val="center"/>
          </w:tcPr>
          <w:p>
            <w:pPr>
              <w:pStyle w:val="26"/>
              <w:spacing w:beforeLines="0" w:afterLines="0" w:line="240" w:lineRule="auto"/>
              <w:rPr>
                <w:rFonts w:hint="eastAsia"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713"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713"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氨氮</w:t>
            </w:r>
          </w:p>
        </w:tc>
        <w:tc>
          <w:tcPr>
            <w:tcW w:w="1712"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生活垃圾</w:t>
            </w:r>
          </w:p>
        </w:tc>
        <w:tc>
          <w:tcPr>
            <w:tcW w:w="1426" w:type="dxa"/>
            <w:gridSpan w:val="2"/>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生活垃圾</w:t>
            </w: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jc w:val="center"/>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Merge w:val="restart"/>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一般工业</w:t>
            </w:r>
          </w:p>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固体废物</w:t>
            </w:r>
          </w:p>
        </w:tc>
        <w:tc>
          <w:tcPr>
            <w:tcW w:w="1426" w:type="dxa"/>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下脚料、废包装品</w:t>
            </w: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426" w:type="dxa"/>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废包装材料</w:t>
            </w: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426" w:type="dxa"/>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污泥</w:t>
            </w: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426" w:type="dxa"/>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废擦布</w:t>
            </w: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Merge w:val="restart"/>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危险废物</w:t>
            </w:r>
          </w:p>
        </w:tc>
        <w:tc>
          <w:tcPr>
            <w:tcW w:w="1426" w:type="dxa"/>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含油废抹布</w:t>
            </w: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426" w:type="dxa"/>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废油桶</w:t>
            </w: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8" w:type="dxa"/>
            <w:vMerge w:val="continue"/>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426" w:type="dxa"/>
            <w:gridSpan w:val="2"/>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废活性炭</w:t>
            </w: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284" w:type="dxa"/>
            <w:vAlign w:val="center"/>
          </w:tcPr>
          <w:p>
            <w:pPr>
              <w:pStyle w:val="26"/>
              <w:spacing w:beforeLines="0" w:afterLines="0" w:line="240" w:lineRule="auto"/>
              <w:rPr>
                <w:rFonts w:hint="default" w:ascii="Times New Roman" w:hAnsi="Times New Roman" w:eastAsia="宋体" w:cs="Times New Roman"/>
                <w:snapToGrid w:val="0"/>
                <w:color w:val="000000"/>
                <w:kern w:val="0"/>
                <w:szCs w:val="21"/>
              </w:rPr>
            </w:pPr>
          </w:p>
        </w:tc>
        <w:tc>
          <w:tcPr>
            <w:tcW w:w="1712"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569"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73" w:type="dxa"/>
            <w:vAlign w:val="center"/>
          </w:tcPr>
          <w:p>
            <w:pPr>
              <w:spacing w:beforeLines="0" w:afterLines="0" w:line="240" w:lineRule="auto"/>
              <w:jc w:val="center"/>
              <w:rPr>
                <w:rFonts w:hint="default" w:ascii="Times New Roman" w:hAnsi="Times New Roman" w:eastAsia="宋体" w:cs="Times New Roman"/>
                <w:snapToGrid w:val="0"/>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793" w:type="dxa"/>
            <w:vAlign w:val="center"/>
          </w:tcPr>
          <w:p>
            <w:pPr>
              <w:adjustRightInd w:val="0"/>
              <w:snapToGrid w:val="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snapToGrid w:val="0"/>
                <w:color w:val="000000"/>
                <w:kern w:val="0"/>
                <w:szCs w:val="21"/>
                <w:lang w:val="en-US" w:eastAsia="zh-CN"/>
              </w:rPr>
              <w:t>0</w:t>
            </w:r>
          </w:p>
        </w:tc>
        <w:tc>
          <w:tcPr>
            <w:tcW w:w="1009" w:type="dxa"/>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0</w:t>
            </w:r>
          </w:p>
        </w:tc>
      </w:tr>
    </w:tbl>
    <w:p>
      <w:pPr>
        <w:pStyle w:val="26"/>
        <w:spacing w:before="255" w:beforeLines="80" w:after="31"/>
        <w:jc w:val="left"/>
        <w:rPr>
          <w:rFonts w:hint="default" w:ascii="Times New Roman" w:hAnsi="Times New Roman" w:eastAsia="宋体" w:cs="Times New Roman"/>
          <w:snapToGrid w:val="0"/>
          <w:color w:val="000000"/>
          <w:kern w:val="0"/>
          <w:szCs w:val="21"/>
        </w:rPr>
      </w:pPr>
      <w:r>
        <w:rPr>
          <w:rFonts w:hint="default" w:ascii="Times New Roman" w:hAnsi="Times New Roman" w:eastAsia="宋体" w:cs="Times New Roman"/>
          <w:snapToGrid w:val="0"/>
          <w:color w:val="000000"/>
          <w:kern w:val="0"/>
          <w:szCs w:val="21"/>
        </w:rPr>
        <w:t>注：</w:t>
      </w:r>
      <w:r>
        <w:rPr>
          <w:rFonts w:hint="default" w:ascii="Times New Roman" w:hAnsi="Times New Roman" w:eastAsia="宋体" w:cs="Times New Roman"/>
          <w:snapToGrid w:val="0"/>
          <w:color w:val="000000"/>
          <w:kern w:val="0"/>
          <w:szCs w:val="21"/>
        </w:rPr>
        <w:fldChar w:fldCharType="begin"/>
      </w:r>
      <w:r>
        <w:rPr>
          <w:rFonts w:hint="default" w:ascii="Times New Roman" w:hAnsi="Times New Roman" w:eastAsia="宋体" w:cs="Times New Roman"/>
          <w:snapToGrid w:val="0"/>
          <w:color w:val="000000"/>
          <w:kern w:val="0"/>
          <w:szCs w:val="21"/>
        </w:rPr>
        <w:instrText xml:space="preserve"> = 6 \* GB3 \* MERGEFORMAT </w:instrText>
      </w:r>
      <w:r>
        <w:rPr>
          <w:rFonts w:hint="default" w:ascii="Times New Roman" w:hAnsi="Times New Roman" w:eastAsia="宋体" w:cs="Times New Roman"/>
          <w:snapToGrid w:val="0"/>
          <w:color w:val="000000"/>
          <w:kern w:val="0"/>
          <w:szCs w:val="21"/>
        </w:rPr>
        <w:fldChar w:fldCharType="separate"/>
      </w:r>
      <w:r>
        <w:rPr>
          <w:rFonts w:hint="default" w:ascii="Times New Roman" w:hAnsi="Times New Roman" w:eastAsia="宋体" w:cs="Times New Roman"/>
          <w:kern w:val="0"/>
          <w:szCs w:val="21"/>
        </w:rPr>
        <w:t>⑥</w:t>
      </w:r>
      <w:r>
        <w:rPr>
          <w:rFonts w:hint="default" w:ascii="Times New Roman" w:hAnsi="Times New Roman" w:eastAsia="宋体" w:cs="Times New Roman"/>
          <w:snapToGrid w:val="0"/>
          <w:color w:val="000000"/>
          <w:kern w:val="0"/>
          <w:szCs w:val="21"/>
        </w:rPr>
        <w:fldChar w:fldCharType="end"/>
      </w:r>
      <w:r>
        <w:rPr>
          <w:rFonts w:hint="default" w:ascii="Times New Roman" w:hAnsi="Times New Roman" w:eastAsia="宋体" w:cs="Times New Roman"/>
          <w:snapToGrid w:val="0"/>
          <w:color w:val="000000"/>
          <w:kern w:val="0"/>
          <w:szCs w:val="21"/>
        </w:rPr>
        <w:t>=</w:t>
      </w:r>
      <w:r>
        <w:rPr>
          <w:rFonts w:hint="default" w:ascii="Times New Roman" w:hAnsi="Times New Roman" w:eastAsia="宋体" w:cs="Times New Roman"/>
          <w:snapToGrid w:val="0"/>
          <w:color w:val="000000"/>
          <w:kern w:val="0"/>
          <w:szCs w:val="21"/>
        </w:rPr>
        <w:fldChar w:fldCharType="begin"/>
      </w:r>
      <w:r>
        <w:rPr>
          <w:rFonts w:hint="default" w:ascii="Times New Roman" w:hAnsi="Times New Roman" w:eastAsia="宋体" w:cs="Times New Roman"/>
          <w:snapToGrid w:val="0"/>
          <w:color w:val="000000"/>
          <w:kern w:val="0"/>
          <w:szCs w:val="21"/>
        </w:rPr>
        <w:instrText xml:space="preserve"> = 1 \* GB3 \* MERGEFORMAT </w:instrText>
      </w:r>
      <w:r>
        <w:rPr>
          <w:rFonts w:hint="default" w:ascii="Times New Roman" w:hAnsi="Times New Roman" w:eastAsia="宋体" w:cs="Times New Roman"/>
          <w:snapToGrid w:val="0"/>
          <w:color w:val="000000"/>
          <w:kern w:val="0"/>
          <w:szCs w:val="21"/>
        </w:rPr>
        <w:fldChar w:fldCharType="separate"/>
      </w:r>
      <w:r>
        <w:rPr>
          <w:rFonts w:hint="default" w:ascii="Times New Roman" w:hAnsi="Times New Roman" w:eastAsia="宋体" w:cs="Times New Roman"/>
          <w:kern w:val="0"/>
          <w:szCs w:val="21"/>
        </w:rPr>
        <w:t>①</w:t>
      </w:r>
      <w:r>
        <w:rPr>
          <w:rFonts w:hint="default" w:ascii="Times New Roman" w:hAnsi="Times New Roman" w:eastAsia="宋体" w:cs="Times New Roman"/>
          <w:snapToGrid w:val="0"/>
          <w:color w:val="000000"/>
          <w:kern w:val="0"/>
          <w:szCs w:val="21"/>
        </w:rPr>
        <w:fldChar w:fldCharType="end"/>
      </w:r>
      <w:r>
        <w:rPr>
          <w:rFonts w:hint="default" w:ascii="Times New Roman" w:hAnsi="Times New Roman" w:eastAsia="宋体" w:cs="Times New Roman"/>
          <w:snapToGrid w:val="0"/>
          <w:color w:val="000000"/>
          <w:kern w:val="0"/>
          <w:szCs w:val="21"/>
        </w:rPr>
        <w:t>+</w:t>
      </w:r>
      <w:r>
        <w:rPr>
          <w:rFonts w:hint="default" w:ascii="Times New Roman" w:hAnsi="Times New Roman" w:eastAsia="宋体" w:cs="Times New Roman"/>
          <w:snapToGrid w:val="0"/>
          <w:color w:val="000000"/>
          <w:kern w:val="0"/>
          <w:szCs w:val="21"/>
        </w:rPr>
        <w:fldChar w:fldCharType="begin"/>
      </w:r>
      <w:r>
        <w:rPr>
          <w:rFonts w:hint="default" w:ascii="Times New Roman" w:hAnsi="Times New Roman" w:eastAsia="宋体" w:cs="Times New Roman"/>
          <w:snapToGrid w:val="0"/>
          <w:color w:val="000000"/>
          <w:kern w:val="0"/>
          <w:szCs w:val="21"/>
        </w:rPr>
        <w:instrText xml:space="preserve"> = 3 \* GB3 \* MERGEFORMAT </w:instrText>
      </w:r>
      <w:r>
        <w:rPr>
          <w:rFonts w:hint="default" w:ascii="Times New Roman" w:hAnsi="Times New Roman" w:eastAsia="宋体" w:cs="Times New Roman"/>
          <w:snapToGrid w:val="0"/>
          <w:color w:val="000000"/>
          <w:kern w:val="0"/>
          <w:szCs w:val="21"/>
        </w:rPr>
        <w:fldChar w:fldCharType="separate"/>
      </w:r>
      <w:r>
        <w:rPr>
          <w:rFonts w:hint="default" w:ascii="Times New Roman" w:hAnsi="Times New Roman" w:eastAsia="宋体" w:cs="Times New Roman"/>
          <w:kern w:val="0"/>
          <w:szCs w:val="21"/>
        </w:rPr>
        <w:t>③</w:t>
      </w:r>
      <w:r>
        <w:rPr>
          <w:rFonts w:hint="default" w:ascii="Times New Roman" w:hAnsi="Times New Roman" w:eastAsia="宋体" w:cs="Times New Roman"/>
          <w:snapToGrid w:val="0"/>
          <w:color w:val="000000"/>
          <w:kern w:val="0"/>
          <w:szCs w:val="21"/>
        </w:rPr>
        <w:fldChar w:fldCharType="end"/>
      </w:r>
      <w:r>
        <w:rPr>
          <w:rFonts w:hint="default" w:ascii="Times New Roman" w:hAnsi="Times New Roman" w:eastAsia="宋体" w:cs="Times New Roman"/>
          <w:snapToGrid w:val="0"/>
          <w:color w:val="000000"/>
          <w:kern w:val="0"/>
          <w:szCs w:val="21"/>
        </w:rPr>
        <w:t>+</w:t>
      </w:r>
      <w:r>
        <w:rPr>
          <w:rFonts w:hint="default" w:ascii="Times New Roman" w:hAnsi="Times New Roman" w:eastAsia="宋体" w:cs="Times New Roman"/>
          <w:snapToGrid w:val="0"/>
          <w:color w:val="000000"/>
          <w:kern w:val="0"/>
          <w:szCs w:val="21"/>
        </w:rPr>
        <w:fldChar w:fldCharType="begin"/>
      </w:r>
      <w:r>
        <w:rPr>
          <w:rFonts w:hint="default" w:ascii="Times New Roman" w:hAnsi="Times New Roman" w:eastAsia="宋体" w:cs="Times New Roman"/>
          <w:snapToGrid w:val="0"/>
          <w:color w:val="000000"/>
          <w:kern w:val="0"/>
          <w:szCs w:val="21"/>
        </w:rPr>
        <w:instrText xml:space="preserve"> = 4 \* GB3 \* MERGEFORMAT </w:instrText>
      </w:r>
      <w:r>
        <w:rPr>
          <w:rFonts w:hint="default" w:ascii="Times New Roman" w:hAnsi="Times New Roman" w:eastAsia="宋体" w:cs="Times New Roman"/>
          <w:snapToGrid w:val="0"/>
          <w:color w:val="000000"/>
          <w:kern w:val="0"/>
          <w:szCs w:val="21"/>
        </w:rPr>
        <w:fldChar w:fldCharType="separate"/>
      </w:r>
      <w:r>
        <w:rPr>
          <w:rFonts w:hint="default" w:ascii="Times New Roman" w:hAnsi="Times New Roman" w:eastAsia="宋体" w:cs="Times New Roman"/>
          <w:kern w:val="0"/>
          <w:szCs w:val="21"/>
        </w:rPr>
        <w:t>④</w:t>
      </w:r>
      <w:r>
        <w:rPr>
          <w:rFonts w:hint="default" w:ascii="Times New Roman" w:hAnsi="Times New Roman" w:eastAsia="宋体" w:cs="Times New Roman"/>
          <w:snapToGrid w:val="0"/>
          <w:color w:val="000000"/>
          <w:kern w:val="0"/>
          <w:szCs w:val="21"/>
        </w:rPr>
        <w:fldChar w:fldCharType="end"/>
      </w:r>
      <w:r>
        <w:rPr>
          <w:rFonts w:hint="default" w:ascii="Times New Roman" w:hAnsi="Times New Roman" w:eastAsia="宋体" w:cs="Times New Roman"/>
          <w:snapToGrid w:val="0"/>
          <w:color w:val="000000"/>
          <w:kern w:val="0"/>
          <w:szCs w:val="21"/>
        </w:rPr>
        <w:t>-</w:t>
      </w:r>
      <w:r>
        <w:rPr>
          <w:rFonts w:hint="default" w:ascii="Times New Roman" w:hAnsi="Times New Roman" w:eastAsia="宋体" w:cs="Times New Roman"/>
          <w:snapToGrid w:val="0"/>
          <w:color w:val="000000"/>
          <w:kern w:val="0"/>
          <w:szCs w:val="21"/>
        </w:rPr>
        <w:fldChar w:fldCharType="begin"/>
      </w:r>
      <w:r>
        <w:rPr>
          <w:rFonts w:hint="default" w:ascii="Times New Roman" w:hAnsi="Times New Roman" w:eastAsia="宋体" w:cs="Times New Roman"/>
          <w:snapToGrid w:val="0"/>
          <w:color w:val="000000"/>
          <w:kern w:val="0"/>
          <w:szCs w:val="21"/>
        </w:rPr>
        <w:instrText xml:space="preserve"> = 5 \* GB3 \* MERGEFORMAT </w:instrText>
      </w:r>
      <w:r>
        <w:rPr>
          <w:rFonts w:hint="default" w:ascii="Times New Roman" w:hAnsi="Times New Roman" w:eastAsia="宋体" w:cs="Times New Roman"/>
          <w:snapToGrid w:val="0"/>
          <w:color w:val="000000"/>
          <w:kern w:val="0"/>
          <w:szCs w:val="21"/>
        </w:rPr>
        <w:fldChar w:fldCharType="separate"/>
      </w:r>
      <w:r>
        <w:rPr>
          <w:rFonts w:hint="default" w:ascii="Times New Roman" w:hAnsi="Times New Roman" w:eastAsia="宋体" w:cs="Times New Roman"/>
          <w:kern w:val="0"/>
          <w:szCs w:val="21"/>
        </w:rPr>
        <w:t>⑤</w:t>
      </w:r>
      <w:r>
        <w:rPr>
          <w:rFonts w:hint="default" w:ascii="Times New Roman" w:hAnsi="Times New Roman" w:eastAsia="宋体" w:cs="Times New Roman"/>
          <w:snapToGrid w:val="0"/>
          <w:color w:val="000000"/>
          <w:kern w:val="0"/>
          <w:szCs w:val="21"/>
        </w:rPr>
        <w:fldChar w:fldCharType="end"/>
      </w:r>
      <w:r>
        <w:rPr>
          <w:rFonts w:hint="default" w:ascii="Times New Roman" w:hAnsi="Times New Roman" w:eastAsia="宋体" w:cs="Times New Roman"/>
          <w:snapToGrid w:val="0"/>
          <w:color w:val="000000"/>
          <w:kern w:val="0"/>
          <w:szCs w:val="21"/>
        </w:rPr>
        <w:t>；</w:t>
      </w:r>
      <w:r>
        <w:rPr>
          <w:rFonts w:hint="default" w:ascii="Times New Roman" w:hAnsi="Times New Roman" w:eastAsia="宋体" w:cs="Times New Roman"/>
          <w:snapToGrid w:val="0"/>
          <w:color w:val="000000"/>
          <w:kern w:val="0"/>
          <w:szCs w:val="21"/>
        </w:rPr>
        <w:fldChar w:fldCharType="begin"/>
      </w:r>
      <w:r>
        <w:rPr>
          <w:rFonts w:hint="default" w:ascii="Times New Roman" w:hAnsi="Times New Roman" w:eastAsia="宋体" w:cs="Times New Roman"/>
          <w:snapToGrid w:val="0"/>
          <w:color w:val="000000"/>
          <w:kern w:val="0"/>
          <w:szCs w:val="21"/>
        </w:rPr>
        <w:instrText xml:space="preserve"> = 7 \* GB3 \* MERGEFORMAT </w:instrText>
      </w:r>
      <w:r>
        <w:rPr>
          <w:rFonts w:hint="default" w:ascii="Times New Roman" w:hAnsi="Times New Roman" w:eastAsia="宋体" w:cs="Times New Roman"/>
          <w:snapToGrid w:val="0"/>
          <w:color w:val="000000"/>
          <w:kern w:val="0"/>
          <w:szCs w:val="21"/>
        </w:rPr>
        <w:fldChar w:fldCharType="separate"/>
      </w:r>
      <w:r>
        <w:rPr>
          <w:rFonts w:hint="default" w:ascii="Times New Roman" w:hAnsi="Times New Roman" w:eastAsia="宋体" w:cs="Times New Roman"/>
          <w:kern w:val="0"/>
          <w:szCs w:val="21"/>
        </w:rPr>
        <w:t>⑦</w:t>
      </w:r>
      <w:r>
        <w:rPr>
          <w:rFonts w:hint="default" w:ascii="Times New Roman" w:hAnsi="Times New Roman" w:eastAsia="宋体" w:cs="Times New Roman"/>
          <w:snapToGrid w:val="0"/>
          <w:color w:val="000000"/>
          <w:kern w:val="0"/>
          <w:szCs w:val="21"/>
        </w:rPr>
        <w:fldChar w:fldCharType="end"/>
      </w:r>
      <w:r>
        <w:rPr>
          <w:rFonts w:hint="default" w:ascii="Times New Roman" w:hAnsi="Times New Roman" w:eastAsia="宋体" w:cs="Times New Roman"/>
          <w:snapToGrid w:val="0"/>
          <w:color w:val="000000"/>
          <w:kern w:val="0"/>
          <w:szCs w:val="21"/>
        </w:rPr>
        <w:t>=</w:t>
      </w:r>
      <w:r>
        <w:rPr>
          <w:rFonts w:hint="default" w:ascii="Times New Roman" w:hAnsi="Times New Roman" w:eastAsia="宋体" w:cs="Times New Roman"/>
          <w:snapToGrid w:val="0"/>
          <w:color w:val="000000"/>
          <w:kern w:val="0"/>
          <w:szCs w:val="21"/>
        </w:rPr>
        <w:fldChar w:fldCharType="begin"/>
      </w:r>
      <w:r>
        <w:rPr>
          <w:rFonts w:hint="default" w:ascii="Times New Roman" w:hAnsi="Times New Roman" w:eastAsia="宋体" w:cs="Times New Roman"/>
          <w:snapToGrid w:val="0"/>
          <w:color w:val="000000"/>
          <w:kern w:val="0"/>
          <w:szCs w:val="21"/>
        </w:rPr>
        <w:instrText xml:space="preserve"> = 6 \* GB3 \* MERGEFORMAT </w:instrText>
      </w:r>
      <w:r>
        <w:rPr>
          <w:rFonts w:hint="default" w:ascii="Times New Roman" w:hAnsi="Times New Roman" w:eastAsia="宋体" w:cs="Times New Roman"/>
          <w:snapToGrid w:val="0"/>
          <w:color w:val="000000"/>
          <w:kern w:val="0"/>
          <w:szCs w:val="21"/>
        </w:rPr>
        <w:fldChar w:fldCharType="separate"/>
      </w:r>
      <w:r>
        <w:rPr>
          <w:rFonts w:hint="default" w:ascii="Times New Roman" w:hAnsi="Times New Roman" w:eastAsia="宋体" w:cs="Times New Roman"/>
          <w:kern w:val="0"/>
          <w:szCs w:val="21"/>
        </w:rPr>
        <w:t>⑥</w:t>
      </w:r>
      <w:r>
        <w:rPr>
          <w:rFonts w:hint="default" w:ascii="Times New Roman" w:hAnsi="Times New Roman" w:eastAsia="宋体" w:cs="Times New Roman"/>
          <w:snapToGrid w:val="0"/>
          <w:color w:val="000000"/>
          <w:kern w:val="0"/>
          <w:szCs w:val="21"/>
        </w:rPr>
        <w:fldChar w:fldCharType="end"/>
      </w:r>
      <w:r>
        <w:rPr>
          <w:rFonts w:hint="default" w:ascii="Times New Roman" w:hAnsi="Times New Roman" w:eastAsia="宋体" w:cs="Times New Roman"/>
          <w:snapToGrid w:val="0"/>
          <w:color w:val="000000"/>
          <w:kern w:val="0"/>
          <w:szCs w:val="21"/>
        </w:rPr>
        <w:t>-</w:t>
      </w:r>
      <w:r>
        <w:rPr>
          <w:rFonts w:hint="default" w:ascii="Times New Roman" w:hAnsi="Times New Roman" w:eastAsia="宋体" w:cs="Times New Roman"/>
          <w:snapToGrid w:val="0"/>
          <w:color w:val="000000"/>
          <w:kern w:val="0"/>
          <w:szCs w:val="21"/>
        </w:rPr>
        <w:fldChar w:fldCharType="begin"/>
      </w:r>
      <w:r>
        <w:rPr>
          <w:rFonts w:hint="default" w:ascii="Times New Roman" w:hAnsi="Times New Roman" w:eastAsia="宋体" w:cs="Times New Roman"/>
          <w:snapToGrid w:val="0"/>
          <w:color w:val="000000"/>
          <w:kern w:val="0"/>
          <w:szCs w:val="21"/>
        </w:rPr>
        <w:instrText xml:space="preserve"> = 1 \* GB3 \* MERGEFORMAT </w:instrText>
      </w:r>
      <w:r>
        <w:rPr>
          <w:rFonts w:hint="default" w:ascii="Times New Roman" w:hAnsi="Times New Roman" w:eastAsia="宋体" w:cs="Times New Roman"/>
          <w:snapToGrid w:val="0"/>
          <w:color w:val="000000"/>
          <w:kern w:val="0"/>
          <w:szCs w:val="21"/>
        </w:rPr>
        <w:fldChar w:fldCharType="separate"/>
      </w:r>
      <w:r>
        <w:rPr>
          <w:rFonts w:hint="default" w:ascii="Times New Roman" w:hAnsi="Times New Roman" w:eastAsia="宋体" w:cs="Times New Roman"/>
          <w:kern w:val="0"/>
          <w:szCs w:val="21"/>
        </w:rPr>
        <w:t>①</w:t>
      </w:r>
      <w:r>
        <w:rPr>
          <w:rFonts w:hint="default" w:ascii="Times New Roman" w:hAnsi="Times New Roman" w:eastAsia="宋体" w:cs="Times New Roman"/>
          <w:snapToGrid w:val="0"/>
          <w:color w:val="000000"/>
          <w:kern w:val="0"/>
          <w:szCs w:val="21"/>
        </w:rPr>
        <w:fldChar w:fldCharType="end"/>
      </w:r>
    </w:p>
    <w:p>
      <w:pPr>
        <w:rPr>
          <w:rFonts w:hint="default" w:ascii="Times New Roman" w:hAnsi="Times New Roman" w:eastAsia="宋体" w:cs="Times New Roman"/>
          <w:snapToGrid w:val="0"/>
          <w:color w:val="000000"/>
          <w:kern w:val="0"/>
          <w:szCs w:val="21"/>
        </w:rPr>
        <w:sectPr>
          <w:pgSz w:w="16838" w:h="11906" w:orient="landscape"/>
          <w:pgMar w:top="1803" w:right="1440" w:bottom="1803" w:left="1440" w:header="850" w:footer="992" w:gutter="0"/>
          <w:pgBorders>
            <w:top w:val="none" w:sz="0" w:space="0"/>
            <w:left w:val="none" w:sz="0" w:space="0"/>
            <w:bottom w:val="none" w:sz="0" w:space="0"/>
            <w:right w:val="none" w:sz="0" w:space="0"/>
          </w:pgBorders>
          <w:cols w:space="720" w:num="1"/>
          <w:docGrid w:type="lines" w:linePitch="319" w:charSpace="0"/>
        </w:sectPr>
      </w:pPr>
    </w:p>
    <w:p>
      <w:pPr>
        <w:pStyle w:val="2"/>
        <w:ind w:left="0" w:leftChars="0" w:firstLine="0" w:firstLineChars="0"/>
        <w:rPr>
          <w:rFonts w:hint="default" w:ascii="Times New Roman" w:hAnsi="Times New Roman" w:eastAsia="宋体" w:cs="Times New Roman"/>
          <w:b/>
          <w:bCs/>
          <w:kern w:val="0"/>
          <w:szCs w:val="24"/>
        </w:rPr>
      </w:pPr>
      <w:r>
        <w:rPr>
          <w:rFonts w:hint="default" w:ascii="Times New Roman" w:hAnsi="Times New Roman" w:eastAsia="宋体" w:cs="Times New Roman"/>
          <w:b/>
          <w:bCs/>
          <w:kern w:val="0"/>
          <w:szCs w:val="24"/>
        </w:rPr>
        <w:t>附件1 立项批准文件</w:t>
      </w:r>
    </w:p>
    <w:p>
      <w:pPr>
        <w:pStyle w:val="2"/>
        <w:ind w:left="0" w:leftChars="0" w:firstLine="0" w:firstLineChars="0"/>
        <w:rPr>
          <w:rFonts w:hint="default" w:ascii="Times New Roman" w:hAnsi="Times New Roman" w:eastAsia="宋体" w:cs="Times New Roman"/>
          <w:kern w:val="0"/>
        </w:rPr>
      </w:pPr>
      <w:r>
        <w:rPr>
          <w:rFonts w:hint="default" w:ascii="Times New Roman" w:hAnsi="Times New Roman" w:eastAsia="宋体" w:cs="Times New Roman"/>
          <w:kern w:val="0"/>
        </w:rPr>
        <w:drawing>
          <wp:inline distT="0" distB="0" distL="114300" distR="114300">
            <wp:extent cx="5257800" cy="7010400"/>
            <wp:effectExtent l="0" t="0" r="0" b="0"/>
            <wp:docPr id="5" name="图片 5" descr="C:/Users/Administrator/AppData/Local/Temp/picturecompress_202111161436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11116143637/output_1.jpgoutput_1"/>
                    <pic:cNvPicPr>
                      <a:picLocks noChangeAspect="1"/>
                    </pic:cNvPicPr>
                  </pic:nvPicPr>
                  <pic:blipFill>
                    <a:blip r:embed="rId23"/>
                    <a:srcRect t="8911"/>
                    <a:stretch>
                      <a:fillRect/>
                    </a:stretch>
                  </pic:blipFill>
                  <pic:spPr>
                    <a:xfrm>
                      <a:off x="0" y="0"/>
                      <a:ext cx="5257800" cy="701040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b/>
          <w:bCs/>
          <w:kern w:val="0"/>
          <w:sz w:val="28"/>
          <w:szCs w:val="28"/>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p>
    <w:p>
      <w:pPr>
        <w:pStyle w:val="2"/>
        <w:ind w:left="0" w:leftChars="0" w:firstLine="0" w:firstLineChars="0"/>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附件2 营业执照</w:t>
      </w:r>
    </w:p>
    <w:p>
      <w:pPr>
        <w:pStyle w:val="24"/>
        <w:rPr>
          <w:rFonts w:hint="default" w:ascii="Times New Roman" w:hAnsi="Times New Roman" w:eastAsia="宋体" w:cs="Times New Roman"/>
          <w:kern w:val="0"/>
        </w:rPr>
      </w:pPr>
      <w:r>
        <w:rPr>
          <w:rFonts w:hint="default" w:ascii="Times New Roman" w:hAnsi="Times New Roman" w:eastAsia="宋体" w:cs="Times New Roman"/>
          <w:kern w:val="0"/>
        </w:rPr>
        <w:drawing>
          <wp:inline distT="0" distB="0" distL="114300" distR="114300">
            <wp:extent cx="5257800" cy="7010400"/>
            <wp:effectExtent l="0" t="0" r="0" b="0"/>
            <wp:docPr id="30" name="图片 30" descr="8a6641089653e6b914313cd5998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a6641089653e6b914313cd59981613"/>
                    <pic:cNvPicPr>
                      <a:picLocks noChangeAspect="1"/>
                    </pic:cNvPicPr>
                  </pic:nvPicPr>
                  <pic:blipFill>
                    <a:blip r:embed="rId24"/>
                    <a:stretch>
                      <a:fillRect/>
                    </a:stretch>
                  </pic:blipFill>
                  <pic:spPr>
                    <a:xfrm>
                      <a:off x="0" y="0"/>
                      <a:ext cx="5257800" cy="7010400"/>
                    </a:xfrm>
                    <a:prstGeom prst="rect">
                      <a:avLst/>
                    </a:prstGeom>
                  </pic:spPr>
                </pic:pic>
              </a:graphicData>
            </a:graphic>
          </wp:inline>
        </w:drawing>
      </w:r>
    </w:p>
    <w:p>
      <w:pPr>
        <w:jc w:val="center"/>
        <w:rPr>
          <w:rFonts w:hint="default" w:ascii="Times New Roman" w:hAnsi="Times New Roman" w:eastAsia="宋体" w:cs="Times New Roman"/>
          <w:kern w:val="0"/>
        </w:rPr>
      </w:pPr>
    </w:p>
    <w:p>
      <w:pPr>
        <w:pStyle w:val="2"/>
        <w:ind w:firstLine="480"/>
        <w:rPr>
          <w:rFonts w:hint="default" w:ascii="Times New Roman" w:hAnsi="Times New Roman" w:eastAsia="宋体" w:cs="Times New Roman"/>
          <w:kern w:val="0"/>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p>
    <w:p>
      <w:pPr>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附件3 委托书</w:t>
      </w:r>
    </w:p>
    <w:p>
      <w:pPr>
        <w:tabs>
          <w:tab w:val="left" w:pos="1589"/>
          <w:tab w:val="center" w:pos="4213"/>
        </w:tabs>
        <w:adjustRightInd w:val="0"/>
        <w:spacing w:line="800" w:lineRule="exact"/>
        <w:ind w:firstLine="3092" w:firstLineChars="700"/>
        <w:jc w:val="left"/>
        <w:textAlignment w:val="baseline"/>
        <w:rPr>
          <w:rFonts w:hint="default" w:ascii="Times New Roman" w:hAnsi="Times New Roman" w:eastAsia="宋体" w:cs="Times New Roman"/>
          <w:b/>
          <w:kern w:val="0"/>
          <w:sz w:val="44"/>
          <w:szCs w:val="44"/>
        </w:rPr>
      </w:pPr>
      <w:r>
        <w:rPr>
          <w:rFonts w:hint="default" w:ascii="Times New Roman" w:hAnsi="Times New Roman" w:eastAsia="宋体" w:cs="Times New Roman"/>
          <w:b/>
          <w:kern w:val="0"/>
          <w:sz w:val="44"/>
          <w:szCs w:val="44"/>
        </w:rPr>
        <w:t>委  托  书</w:t>
      </w:r>
    </w:p>
    <w:p>
      <w:pPr>
        <w:adjustRightInd w:val="0"/>
        <w:spacing w:line="800" w:lineRule="exact"/>
        <w:textAlignment w:val="baseline"/>
        <w:rPr>
          <w:rFonts w:hint="default" w:ascii="Times New Roman" w:hAnsi="Times New Roman" w:eastAsia="宋体" w:cs="Times New Roman"/>
          <w:kern w:val="0"/>
          <w:sz w:val="32"/>
          <w:szCs w:val="32"/>
        </w:rPr>
      </w:pPr>
    </w:p>
    <w:p>
      <w:pPr>
        <w:adjustRightInd w:val="0"/>
        <w:spacing w:line="800" w:lineRule="exact"/>
        <w:textAlignment w:val="baseline"/>
        <w:rPr>
          <w:rFonts w:hint="default" w:ascii="Times New Roman" w:hAnsi="Times New Roman" w:eastAsia="宋体" w:cs="Times New Roman"/>
          <w:b/>
          <w:kern w:val="0"/>
          <w:sz w:val="32"/>
          <w:szCs w:val="32"/>
        </w:rPr>
      </w:pPr>
      <w:r>
        <w:rPr>
          <w:rFonts w:hint="default" w:ascii="Times New Roman" w:hAnsi="Times New Roman" w:eastAsia="宋体" w:cs="Times New Roman"/>
          <w:b/>
          <w:kern w:val="0"/>
          <w:sz w:val="32"/>
          <w:szCs w:val="32"/>
        </w:rPr>
        <w:t>山东冠业环境技术有限公司：</w:t>
      </w:r>
    </w:p>
    <w:p>
      <w:pPr>
        <w:spacing w:line="800" w:lineRule="exact"/>
        <w:ind w:right="164" w:rightChars="78" w:firstLine="643" w:firstLineChars="200"/>
        <w:rPr>
          <w:rFonts w:hint="default" w:ascii="Times New Roman" w:hAnsi="Times New Roman" w:eastAsia="宋体" w:cs="Times New Roman"/>
          <w:b/>
          <w:kern w:val="0"/>
          <w:sz w:val="32"/>
          <w:szCs w:val="32"/>
          <w:lang w:eastAsia="zh-CN"/>
        </w:rPr>
      </w:pPr>
      <w:r>
        <w:rPr>
          <w:rFonts w:hint="default" w:ascii="Times New Roman" w:hAnsi="Times New Roman" w:eastAsia="宋体" w:cs="Times New Roman"/>
          <w:b/>
          <w:kern w:val="0"/>
          <w:sz w:val="32"/>
          <w:szCs w:val="32"/>
        </w:rPr>
        <w:t>根据国家《建设项目环境保护管理条例》和当地环保部门的要求，</w:t>
      </w:r>
      <w:r>
        <w:rPr>
          <w:rFonts w:hint="default" w:ascii="Times New Roman" w:hAnsi="Times New Roman" w:eastAsia="宋体" w:cs="Times New Roman"/>
          <w:b/>
          <w:kern w:val="0"/>
          <w:sz w:val="32"/>
          <w:szCs w:val="32"/>
          <w:u w:val="single"/>
        </w:rPr>
        <w:t>淄博圣彩玻璃制品有限公司建设年产80万只玻璃杯技术改造项目</w:t>
      </w:r>
      <w:r>
        <w:rPr>
          <w:rFonts w:hint="default" w:ascii="Times New Roman" w:hAnsi="Times New Roman" w:eastAsia="宋体" w:cs="Times New Roman"/>
          <w:b/>
          <w:kern w:val="0"/>
          <w:sz w:val="32"/>
          <w:szCs w:val="32"/>
        </w:rPr>
        <w:t xml:space="preserve">需执行环境影响评价制度，今委托贵公司承担该项目环境影响报告表的编制工作。 </w:t>
      </w:r>
    </w:p>
    <w:p>
      <w:pPr>
        <w:spacing w:line="800" w:lineRule="exact"/>
        <w:ind w:right="164" w:rightChars="78" w:firstLine="643" w:firstLineChars="200"/>
        <w:rPr>
          <w:rFonts w:hint="default" w:ascii="Times New Roman" w:hAnsi="Times New Roman" w:eastAsia="宋体" w:cs="Times New Roman"/>
          <w:b/>
          <w:kern w:val="0"/>
          <w:sz w:val="32"/>
          <w:szCs w:val="32"/>
        </w:rPr>
      </w:pPr>
    </w:p>
    <w:p>
      <w:pPr>
        <w:adjustRightInd w:val="0"/>
        <w:spacing w:line="580" w:lineRule="exact"/>
        <w:ind w:firstLine="600" w:firstLineChars="200"/>
        <w:textAlignment w:val="baseline"/>
        <w:rPr>
          <w:rFonts w:hint="default" w:ascii="Times New Roman" w:hAnsi="Times New Roman" w:eastAsia="宋体" w:cs="Times New Roman"/>
          <w:kern w:val="0"/>
          <w:sz w:val="30"/>
          <w:szCs w:val="20"/>
          <w:lang w:eastAsia="zh-CN"/>
        </w:rPr>
      </w:pPr>
    </w:p>
    <w:p>
      <w:pPr>
        <w:adjustRightInd w:val="0"/>
        <w:spacing w:line="800" w:lineRule="exact"/>
        <w:textAlignment w:val="baseline"/>
        <w:rPr>
          <w:rFonts w:hint="default" w:ascii="Times New Roman" w:hAnsi="Times New Roman" w:eastAsia="宋体" w:cs="Times New Roman"/>
          <w:kern w:val="0"/>
          <w:sz w:val="32"/>
          <w:szCs w:val="32"/>
        </w:rPr>
      </w:pPr>
    </w:p>
    <w:p>
      <w:pPr>
        <w:spacing w:line="800" w:lineRule="exact"/>
        <w:ind w:right="164" w:rightChars="78" w:firstLine="643" w:firstLineChars="200"/>
        <w:jc w:val="right"/>
        <w:rPr>
          <w:rFonts w:hint="default" w:ascii="Times New Roman" w:hAnsi="Times New Roman" w:eastAsia="宋体" w:cs="Times New Roman"/>
          <w:b/>
          <w:kern w:val="0"/>
          <w:sz w:val="32"/>
          <w:szCs w:val="32"/>
        </w:rPr>
      </w:pPr>
      <w:r>
        <w:rPr>
          <w:rFonts w:hint="default" w:ascii="Times New Roman" w:hAnsi="Times New Roman" w:eastAsia="宋体" w:cs="Times New Roman"/>
          <w:b/>
          <w:kern w:val="0"/>
          <w:sz w:val="32"/>
          <w:szCs w:val="32"/>
        </w:rPr>
        <w:t>委托方：淄博圣彩玻璃制品有限公司司</w:t>
      </w:r>
    </w:p>
    <w:p>
      <w:pPr>
        <w:spacing w:line="800" w:lineRule="exact"/>
        <w:ind w:right="164" w:rightChars="78" w:firstLine="643" w:firstLineChars="200"/>
        <w:jc w:val="right"/>
        <w:rPr>
          <w:rFonts w:hint="default" w:ascii="Times New Roman" w:hAnsi="Times New Roman" w:eastAsia="宋体" w:cs="Times New Roman"/>
          <w:b/>
          <w:kern w:val="0"/>
          <w:sz w:val="32"/>
          <w:szCs w:val="32"/>
        </w:rPr>
      </w:pPr>
      <w:r>
        <w:rPr>
          <w:rFonts w:hint="default" w:ascii="Times New Roman" w:hAnsi="Times New Roman" w:eastAsia="宋体" w:cs="Times New Roman"/>
          <w:b/>
          <w:kern w:val="0"/>
          <w:sz w:val="32"/>
          <w:szCs w:val="32"/>
        </w:rPr>
        <w:t xml:space="preserve">         委托时间：     年    月</w:t>
      </w:r>
    </w:p>
    <w:p>
      <w:pPr>
        <w:pStyle w:val="2"/>
        <w:ind w:left="0" w:leftChars="0" w:firstLine="0" w:firstLineChars="0"/>
        <w:rPr>
          <w:rFonts w:hint="default" w:ascii="Times New Roman" w:hAnsi="Times New Roman" w:eastAsia="宋体" w:cs="Times New Roman"/>
          <w:kern w:val="0"/>
          <w:sz w:val="30"/>
          <w:szCs w:val="30"/>
        </w:rPr>
      </w:pPr>
    </w:p>
    <w:p>
      <w:pPr>
        <w:rPr>
          <w:rFonts w:hint="default" w:ascii="Times New Roman" w:hAnsi="Times New Roman" w:eastAsia="宋体" w:cs="Times New Roman"/>
          <w:kern w:val="0"/>
          <w:sz w:val="30"/>
          <w:szCs w:val="30"/>
        </w:rPr>
      </w:pPr>
    </w:p>
    <w:p>
      <w:pPr>
        <w:pStyle w:val="2"/>
        <w:ind w:firstLine="600"/>
        <w:rPr>
          <w:rFonts w:hint="default" w:ascii="Times New Roman" w:hAnsi="Times New Roman" w:eastAsia="宋体" w:cs="Times New Roman"/>
          <w:kern w:val="0"/>
          <w:sz w:val="30"/>
          <w:szCs w:val="30"/>
        </w:rPr>
      </w:pPr>
    </w:p>
    <w:p>
      <w:pPr>
        <w:rPr>
          <w:rFonts w:hint="default" w:ascii="Times New Roman" w:hAnsi="Times New Roman" w:eastAsia="宋体" w:cs="Times New Roman"/>
          <w:kern w:val="0"/>
          <w:sz w:val="30"/>
          <w:szCs w:val="30"/>
        </w:rPr>
      </w:pPr>
    </w:p>
    <w:p>
      <w:pPr>
        <w:pStyle w:val="2"/>
        <w:ind w:firstLine="600"/>
        <w:rPr>
          <w:rFonts w:hint="default" w:ascii="Times New Roman" w:hAnsi="Times New Roman" w:eastAsia="宋体" w:cs="Times New Roman"/>
          <w:kern w:val="0"/>
          <w:sz w:val="30"/>
          <w:szCs w:val="30"/>
        </w:rPr>
      </w:pPr>
    </w:p>
    <w:p>
      <w:pPr>
        <w:pStyle w:val="2"/>
        <w:tabs>
          <w:tab w:val="left" w:pos="2659"/>
        </w:tabs>
        <w:spacing w:after="0"/>
        <w:ind w:left="0" w:leftChars="0" w:firstLine="0" w:firstLineChars="0"/>
        <w:rPr>
          <w:rFonts w:hint="default" w:ascii="Times New Roman" w:hAnsi="Times New Roman" w:eastAsia="宋体" w:cs="Times New Roman"/>
          <w:b/>
          <w:bCs/>
          <w:kern w:val="0"/>
          <w:sz w:val="28"/>
          <w:szCs w:val="28"/>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p>
    <w:p>
      <w:pPr>
        <w:pStyle w:val="2"/>
        <w:ind w:left="0" w:leftChars="0" w:firstLine="0" w:firstLineChars="0"/>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附件</w:t>
      </w:r>
      <w:r>
        <w:rPr>
          <w:rFonts w:hint="eastAsia" w:cs="Times New Roman"/>
          <w:b/>
          <w:bCs/>
          <w:kern w:val="0"/>
          <w:sz w:val="28"/>
          <w:szCs w:val="28"/>
          <w:lang w:val="en-US" w:eastAsia="zh-CN"/>
        </w:rPr>
        <w:t>4</w:t>
      </w:r>
      <w:r>
        <w:rPr>
          <w:rFonts w:hint="default" w:ascii="Times New Roman" w:hAnsi="Times New Roman" w:eastAsia="宋体" w:cs="Times New Roman"/>
          <w:b/>
          <w:bCs/>
          <w:kern w:val="0"/>
          <w:sz w:val="28"/>
          <w:szCs w:val="28"/>
        </w:rPr>
        <w:t>承诺书</w:t>
      </w:r>
    </w:p>
    <w:p>
      <w:pPr>
        <w:pStyle w:val="2"/>
        <w:spacing w:after="0" w:line="360" w:lineRule="auto"/>
        <w:ind w:left="0" w:leftChars="0" w:firstLine="0" w:firstLineChars="0"/>
        <w:rPr>
          <w:rFonts w:hint="default" w:ascii="Times New Roman" w:hAnsi="Times New Roman" w:eastAsia="宋体" w:cs="Times New Roman"/>
          <w:kern w:val="0"/>
          <w:sz w:val="30"/>
          <w:szCs w:val="30"/>
        </w:rPr>
      </w:pPr>
    </w:p>
    <w:p>
      <w:pPr>
        <w:tabs>
          <w:tab w:val="left" w:pos="1589"/>
          <w:tab w:val="center" w:pos="4213"/>
        </w:tabs>
        <w:adjustRightInd w:val="0"/>
        <w:spacing w:line="800" w:lineRule="exact"/>
        <w:jc w:val="center"/>
        <w:textAlignment w:val="baseline"/>
        <w:rPr>
          <w:rFonts w:hint="default" w:ascii="Times New Roman" w:hAnsi="Times New Roman" w:eastAsia="宋体" w:cs="Times New Roman"/>
          <w:b/>
          <w:kern w:val="0"/>
          <w:sz w:val="44"/>
          <w:szCs w:val="44"/>
        </w:rPr>
      </w:pPr>
      <w:r>
        <w:rPr>
          <w:rFonts w:hint="default" w:ascii="Times New Roman" w:hAnsi="Times New Roman" w:eastAsia="宋体" w:cs="Times New Roman"/>
          <w:b/>
          <w:kern w:val="0"/>
          <w:sz w:val="44"/>
          <w:szCs w:val="44"/>
        </w:rPr>
        <w:t>关于资料提供和环评内容的确认承诺函</w:t>
      </w:r>
    </w:p>
    <w:p>
      <w:pPr>
        <w:adjustRightInd w:val="0"/>
        <w:snapToGrid w:val="0"/>
        <w:spacing w:line="360" w:lineRule="auto"/>
        <w:rPr>
          <w:rFonts w:hint="default" w:ascii="Times New Roman" w:hAnsi="Times New Roman" w:eastAsia="宋体" w:cs="Times New Roman"/>
          <w:kern w:val="0"/>
          <w:sz w:val="24"/>
          <w:szCs w:val="22"/>
        </w:rPr>
      </w:pPr>
    </w:p>
    <w:p>
      <w:pPr>
        <w:adjustRightInd w:val="0"/>
        <w:snapToGrid w:val="0"/>
        <w:spacing w:line="360" w:lineRule="auto"/>
        <w:rPr>
          <w:rFonts w:hint="default" w:ascii="Times New Roman" w:hAnsi="Times New Roman" w:eastAsia="宋体" w:cs="Times New Roman"/>
          <w:kern w:val="0"/>
          <w:sz w:val="28"/>
        </w:rPr>
      </w:pPr>
      <w:r>
        <w:rPr>
          <w:rFonts w:hint="default" w:ascii="Times New Roman" w:hAnsi="Times New Roman" w:eastAsia="宋体" w:cs="Times New Roman"/>
          <w:kern w:val="0"/>
          <w:sz w:val="28"/>
        </w:rPr>
        <w:t>山东冠业环境技术有限公司：</w:t>
      </w:r>
    </w:p>
    <w:p>
      <w:pPr>
        <w:adjustRightInd w:val="0"/>
        <w:snapToGrid w:val="0"/>
        <w:spacing w:line="360" w:lineRule="auto"/>
        <w:ind w:firstLine="560" w:firstLineChars="200"/>
        <w:rPr>
          <w:rFonts w:hint="default" w:ascii="Times New Roman" w:hAnsi="Times New Roman" w:eastAsia="宋体" w:cs="Times New Roman"/>
          <w:kern w:val="0"/>
          <w:sz w:val="28"/>
        </w:rPr>
      </w:pPr>
      <w:r>
        <w:rPr>
          <w:rFonts w:hint="default" w:ascii="Times New Roman" w:hAnsi="Times New Roman" w:eastAsia="宋体" w:cs="Times New Roman"/>
          <w:kern w:val="0"/>
          <w:sz w:val="28"/>
        </w:rPr>
        <w:t>依据双方签订的《淄博圣彩玻璃制品有限公司建设年产80万只玻璃杯技术改造项目环境影响评价技术服务合同书》约定，我单位承诺提供给贵单位的材料均为真实、合法的。</w:t>
      </w:r>
    </w:p>
    <w:p>
      <w:pPr>
        <w:adjustRightInd w:val="0"/>
        <w:snapToGrid w:val="0"/>
        <w:spacing w:line="360" w:lineRule="auto"/>
        <w:ind w:firstLine="560" w:firstLineChars="200"/>
        <w:rPr>
          <w:rFonts w:hint="default" w:ascii="Times New Roman" w:hAnsi="Times New Roman" w:eastAsia="宋体" w:cs="Times New Roman"/>
          <w:kern w:val="0"/>
          <w:sz w:val="28"/>
        </w:rPr>
      </w:pPr>
      <w:r>
        <w:rPr>
          <w:rFonts w:hint="default" w:ascii="Times New Roman" w:hAnsi="Times New Roman" w:eastAsia="宋体" w:cs="Times New Roman"/>
          <w:kern w:val="0"/>
          <w:sz w:val="28"/>
        </w:rPr>
        <w:t>由贵单位编制的《淄博圣彩玻璃制品有限公司建设年产80万只玻璃杯技术改造项目环境影响报告表》已收悉，经对报告内容认真核对，我单位确认相关技术资料及支撑性文件均为我方提供，环评内容符合本项目合同规定的要求，可以上报主管部门审查。由于我方提供资料的真实性、合法性引起的法律责任，由我方承担。</w:t>
      </w:r>
    </w:p>
    <w:p>
      <w:pPr>
        <w:adjustRightInd w:val="0"/>
        <w:snapToGrid w:val="0"/>
        <w:spacing w:line="360" w:lineRule="auto"/>
        <w:ind w:firstLine="560" w:firstLineChars="200"/>
        <w:rPr>
          <w:rFonts w:hint="default" w:ascii="Times New Roman" w:hAnsi="Times New Roman" w:eastAsia="宋体" w:cs="Times New Roman"/>
          <w:kern w:val="0"/>
          <w:sz w:val="28"/>
        </w:rPr>
      </w:pPr>
      <w:r>
        <w:rPr>
          <w:rFonts w:hint="default" w:ascii="Times New Roman" w:hAnsi="Times New Roman" w:eastAsia="宋体" w:cs="Times New Roman"/>
          <w:kern w:val="0"/>
          <w:sz w:val="28"/>
        </w:rPr>
        <w:t>特此承诺！</w:t>
      </w:r>
    </w:p>
    <w:p>
      <w:pPr>
        <w:adjustRightInd w:val="0"/>
        <w:snapToGrid w:val="0"/>
        <w:spacing w:line="360" w:lineRule="auto"/>
        <w:rPr>
          <w:rFonts w:hint="default" w:ascii="Times New Roman" w:hAnsi="Times New Roman" w:eastAsia="宋体" w:cs="Times New Roman"/>
          <w:kern w:val="0"/>
          <w:sz w:val="28"/>
        </w:rPr>
      </w:pPr>
    </w:p>
    <w:p>
      <w:pPr>
        <w:wordWrap w:val="0"/>
        <w:adjustRightInd w:val="0"/>
        <w:snapToGrid w:val="0"/>
        <w:spacing w:line="360" w:lineRule="auto"/>
        <w:ind w:right="1120"/>
        <w:rPr>
          <w:rFonts w:hint="default" w:ascii="Times New Roman" w:hAnsi="Times New Roman" w:eastAsia="宋体" w:cs="Times New Roman"/>
          <w:kern w:val="0"/>
          <w:sz w:val="28"/>
        </w:rPr>
      </w:pPr>
    </w:p>
    <w:p>
      <w:pPr>
        <w:wordWrap w:val="0"/>
        <w:adjustRightInd w:val="0"/>
        <w:snapToGrid w:val="0"/>
        <w:spacing w:line="360" w:lineRule="auto"/>
        <w:jc w:val="right"/>
        <w:rPr>
          <w:rFonts w:hint="default" w:ascii="Times New Roman" w:hAnsi="Times New Roman" w:eastAsia="宋体" w:cs="Times New Roman"/>
          <w:kern w:val="0"/>
          <w:sz w:val="28"/>
        </w:rPr>
      </w:pPr>
    </w:p>
    <w:p>
      <w:pPr>
        <w:adjustRightInd w:val="0"/>
        <w:snapToGrid w:val="0"/>
        <w:spacing w:line="360" w:lineRule="auto"/>
        <w:jc w:val="right"/>
        <w:rPr>
          <w:rFonts w:hint="default" w:ascii="Times New Roman" w:hAnsi="Times New Roman" w:eastAsia="宋体" w:cs="Times New Roman"/>
          <w:kern w:val="0"/>
          <w:sz w:val="28"/>
        </w:rPr>
      </w:pPr>
      <w:r>
        <w:rPr>
          <w:rFonts w:hint="default" w:ascii="Times New Roman" w:hAnsi="Times New Roman" w:eastAsia="宋体" w:cs="Times New Roman"/>
          <w:kern w:val="0"/>
          <w:sz w:val="28"/>
        </w:rPr>
        <w:t>建设单位（公章）</w:t>
      </w:r>
    </w:p>
    <w:p>
      <w:pPr>
        <w:wordWrap w:val="0"/>
        <w:adjustRightInd w:val="0"/>
        <w:snapToGrid w:val="0"/>
        <w:spacing w:line="360" w:lineRule="auto"/>
        <w:jc w:val="right"/>
        <w:rPr>
          <w:rFonts w:hint="default" w:ascii="Times New Roman" w:hAnsi="Times New Roman" w:eastAsia="宋体" w:cs="Times New Roman"/>
          <w:kern w:val="0"/>
          <w:sz w:val="28"/>
          <w:lang w:val="en-US" w:eastAsia="zh-CN"/>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r>
        <w:rPr>
          <w:rFonts w:hint="default" w:ascii="Times New Roman" w:hAnsi="Times New Roman" w:eastAsia="宋体" w:cs="Times New Roman"/>
          <w:kern w:val="0"/>
          <w:sz w:val="28"/>
        </w:rPr>
        <w:t xml:space="preserve">                                       年    月</w:t>
      </w:r>
      <w:r>
        <w:rPr>
          <w:rFonts w:hint="default" w:ascii="Times New Roman" w:hAnsi="Times New Roman" w:eastAsia="宋体" w:cs="Times New Roman"/>
          <w:kern w:val="0"/>
          <w:sz w:val="28"/>
          <w:lang w:val="en-US" w:eastAsia="zh-CN"/>
        </w:rPr>
        <w:t xml:space="preserve"> </w:t>
      </w:r>
    </w:p>
    <w:p>
      <w:pPr>
        <w:wordWrap w:val="0"/>
        <w:adjustRightInd w:val="0"/>
        <w:snapToGrid w:val="0"/>
        <w:spacing w:line="360" w:lineRule="auto"/>
        <w:jc w:val="both"/>
        <w:rPr>
          <w:rFonts w:hint="default" w:ascii="Times New Roman" w:hAnsi="Times New Roman" w:eastAsia="宋体" w:cs="Times New Roman"/>
          <w:b/>
          <w:bCs/>
          <w:kern w:val="0"/>
          <w:sz w:val="28"/>
          <w:lang w:val="en-US" w:eastAsia="zh-CN"/>
        </w:rPr>
      </w:pPr>
      <w:r>
        <w:rPr>
          <w:rFonts w:hint="default" w:ascii="Times New Roman" w:hAnsi="Times New Roman" w:eastAsia="宋体" w:cs="Times New Roman"/>
          <w:b/>
          <w:bCs/>
          <w:kern w:val="0"/>
          <w:sz w:val="28"/>
          <w:lang w:val="en-US" w:eastAsia="zh-CN"/>
        </w:rPr>
        <w:t>附件</w:t>
      </w:r>
      <w:r>
        <w:rPr>
          <w:rFonts w:hint="eastAsia" w:cs="Times New Roman"/>
          <w:b/>
          <w:bCs/>
          <w:kern w:val="0"/>
          <w:sz w:val="28"/>
          <w:lang w:val="en-US" w:eastAsia="zh-CN"/>
        </w:rPr>
        <w:t>5</w:t>
      </w:r>
      <w:r>
        <w:rPr>
          <w:rFonts w:hint="default" w:ascii="Times New Roman" w:hAnsi="Times New Roman" w:eastAsia="宋体" w:cs="Times New Roman"/>
          <w:b/>
          <w:bCs/>
          <w:kern w:val="0"/>
          <w:sz w:val="28"/>
          <w:lang w:val="en-US" w:eastAsia="zh-CN"/>
        </w:rPr>
        <w:t>资料真实性承诺书</w:t>
      </w:r>
    </w:p>
    <w:p>
      <w:pPr>
        <w:wordWrap w:val="0"/>
        <w:adjustRightInd w:val="0"/>
        <w:snapToGrid w:val="0"/>
        <w:spacing w:line="360" w:lineRule="auto"/>
        <w:jc w:val="both"/>
        <w:rPr>
          <w:rFonts w:hint="default" w:ascii="Times New Roman" w:hAnsi="Times New Roman" w:eastAsia="宋体" w:cs="Times New Roman"/>
          <w:kern w:val="0"/>
          <w:sz w:val="28"/>
          <w:lang w:val="en-US" w:eastAsia="zh-CN"/>
        </w:rPr>
      </w:pPr>
      <w:r>
        <w:rPr>
          <w:rFonts w:hint="default" w:ascii="Times New Roman" w:hAnsi="Times New Roman" w:eastAsia="宋体" w:cs="Times New Roman"/>
          <w:kern w:val="0"/>
          <w:sz w:val="28"/>
          <w:lang w:val="en-US" w:eastAsia="zh-CN"/>
        </w:rPr>
        <w:t xml:space="preserve">    </w:t>
      </w:r>
    </w:p>
    <w:p>
      <w:pPr>
        <w:jc w:val="center"/>
        <w:rPr>
          <w:rFonts w:hint="default" w:ascii="Times New Roman" w:hAnsi="Times New Roman" w:eastAsia="宋体" w:cs="Times New Roman"/>
          <w:b/>
          <w:color w:val="auto"/>
          <w:kern w:val="0"/>
          <w:sz w:val="36"/>
          <w:szCs w:val="36"/>
        </w:rPr>
      </w:pPr>
      <w:r>
        <w:rPr>
          <w:rFonts w:hint="default" w:ascii="Times New Roman" w:hAnsi="Times New Roman" w:eastAsia="宋体" w:cs="Times New Roman"/>
          <w:b/>
          <w:color w:val="auto"/>
          <w:kern w:val="0"/>
          <w:sz w:val="36"/>
          <w:szCs w:val="36"/>
        </w:rPr>
        <w:t>资料真实性承诺书</w:t>
      </w:r>
    </w:p>
    <w:p>
      <w:pPr>
        <w:spacing w:line="360" w:lineRule="auto"/>
        <w:rPr>
          <w:rFonts w:hint="default" w:ascii="Times New Roman" w:hAnsi="Times New Roman" w:eastAsia="宋体" w:cs="Times New Roman"/>
          <w:color w:val="auto"/>
          <w:kern w:val="0"/>
          <w:sz w:val="28"/>
          <w:szCs w:val="28"/>
          <w:lang w:eastAsia="zh-CN"/>
        </w:rPr>
      </w:pPr>
    </w:p>
    <w:p>
      <w:pPr>
        <w:autoSpaceDE w:val="0"/>
        <w:autoSpaceDN w:val="0"/>
        <w:adjustRightInd w:val="0"/>
        <w:spacing w:line="360" w:lineRule="auto"/>
        <w:jc w:val="left"/>
        <w:rPr>
          <w:rFonts w:hint="default" w:ascii="Times New Roman" w:hAnsi="Times New Roman" w:eastAsia="宋体" w:cs="Times New Roman"/>
          <w:color w:val="auto"/>
          <w:kern w:val="0"/>
          <w:sz w:val="32"/>
          <w:szCs w:val="32"/>
          <w:lang w:eastAsia="zh-CN"/>
        </w:rPr>
      </w:pPr>
      <w:r>
        <w:rPr>
          <w:rFonts w:hint="default" w:ascii="Times New Roman" w:hAnsi="Times New Roman" w:eastAsia="宋体" w:cs="Times New Roman"/>
          <w:color w:val="auto"/>
          <w:kern w:val="0"/>
          <w:sz w:val="32"/>
          <w:szCs w:val="32"/>
        </w:rPr>
        <w:t>淄博</w:t>
      </w:r>
      <w:r>
        <w:rPr>
          <w:rFonts w:hint="default" w:ascii="Times New Roman" w:hAnsi="Times New Roman" w:eastAsia="宋体" w:cs="Times New Roman"/>
          <w:color w:val="auto"/>
          <w:kern w:val="0"/>
          <w:sz w:val="32"/>
          <w:szCs w:val="32"/>
          <w:lang w:eastAsia="zh-CN"/>
        </w:rPr>
        <w:t>文昌湖省级旅游度假区安全生产监管和环境保护局：</w:t>
      </w:r>
    </w:p>
    <w:p>
      <w:pPr>
        <w:autoSpaceDE w:val="0"/>
        <w:autoSpaceDN w:val="0"/>
        <w:adjustRightInd w:val="0"/>
        <w:spacing w:line="360" w:lineRule="auto"/>
        <w:ind w:firstLine="640" w:firstLineChars="200"/>
        <w:jc w:val="both"/>
        <w:rPr>
          <w:rFonts w:hint="default" w:ascii="Times New Roman" w:hAnsi="Times New Roman" w:eastAsia="宋体" w:cs="Times New Roman"/>
          <w:color w:val="auto"/>
          <w:kern w:val="0"/>
          <w:sz w:val="32"/>
          <w:szCs w:val="32"/>
        </w:rPr>
      </w:pPr>
      <w:r>
        <w:rPr>
          <w:rFonts w:hint="default" w:ascii="Times New Roman" w:hAnsi="Times New Roman" w:eastAsia="宋体" w:cs="Times New Roman"/>
          <w:color w:val="auto"/>
          <w:kern w:val="0"/>
          <w:sz w:val="32"/>
          <w:szCs w:val="32"/>
        </w:rPr>
        <w:t>今我单位委托</w:t>
      </w:r>
      <w:r>
        <w:rPr>
          <w:rFonts w:hint="default" w:ascii="Times New Roman" w:hAnsi="Times New Roman" w:eastAsia="宋体" w:cs="Times New Roman"/>
          <w:color w:val="auto"/>
          <w:kern w:val="0"/>
          <w:sz w:val="32"/>
          <w:szCs w:val="32"/>
          <w:lang w:eastAsia="zh-CN"/>
        </w:rPr>
        <w:t>山东冠业环境技术有限公司</w:t>
      </w:r>
      <w:r>
        <w:rPr>
          <w:rFonts w:hint="default" w:ascii="Times New Roman" w:hAnsi="Times New Roman" w:eastAsia="宋体" w:cs="Times New Roman"/>
          <w:color w:val="auto"/>
          <w:kern w:val="0"/>
          <w:sz w:val="32"/>
          <w:szCs w:val="32"/>
        </w:rPr>
        <w:t>为我公司编制</w:t>
      </w:r>
      <w:r>
        <w:rPr>
          <w:rFonts w:hint="default" w:ascii="Times New Roman" w:hAnsi="Times New Roman" w:eastAsia="宋体" w:cs="Times New Roman"/>
          <w:color w:val="auto"/>
          <w:kern w:val="0"/>
          <w:sz w:val="32"/>
          <w:szCs w:val="32"/>
          <w:u w:val="single"/>
          <w:lang w:eastAsia="zh-CN"/>
        </w:rPr>
        <w:t>年产80万只玻璃杯技术改造项目</w:t>
      </w:r>
      <w:r>
        <w:rPr>
          <w:rFonts w:hint="default" w:ascii="Times New Roman" w:hAnsi="Times New Roman" w:eastAsia="宋体" w:cs="Times New Roman"/>
          <w:color w:val="auto"/>
          <w:kern w:val="0"/>
          <w:sz w:val="32"/>
          <w:szCs w:val="32"/>
        </w:rPr>
        <w:t>环境影响报告表，在报告编制过程中该项目的生产工艺流程、物料平衡、原辅材料、附图附件、相关证明文件等基础资料均由我们提供，内容真实可靠，没有虚假，如存在瞒报、假报和造假等情况，我单位愿依法承担因此带来的一切后果。</w:t>
      </w:r>
    </w:p>
    <w:p>
      <w:pPr>
        <w:autoSpaceDE w:val="0"/>
        <w:autoSpaceDN w:val="0"/>
        <w:adjustRightInd w:val="0"/>
        <w:spacing w:line="360" w:lineRule="auto"/>
        <w:ind w:firstLine="640" w:firstLineChars="200"/>
        <w:jc w:val="left"/>
        <w:rPr>
          <w:rFonts w:hint="default" w:ascii="Times New Roman" w:hAnsi="Times New Roman" w:eastAsia="宋体" w:cs="Times New Roman"/>
          <w:color w:val="auto"/>
          <w:kern w:val="0"/>
          <w:sz w:val="32"/>
          <w:szCs w:val="32"/>
        </w:rPr>
      </w:pPr>
      <w:r>
        <w:rPr>
          <w:rFonts w:hint="default" w:ascii="Times New Roman" w:hAnsi="Times New Roman" w:eastAsia="宋体" w:cs="Times New Roman"/>
          <w:color w:val="auto"/>
          <w:kern w:val="0"/>
          <w:sz w:val="32"/>
          <w:szCs w:val="32"/>
        </w:rPr>
        <w:t>特此声明。</w:t>
      </w:r>
    </w:p>
    <w:p>
      <w:pPr>
        <w:spacing w:line="360" w:lineRule="auto"/>
        <w:rPr>
          <w:rFonts w:hint="default" w:ascii="Times New Roman" w:hAnsi="Times New Roman" w:eastAsia="宋体" w:cs="Times New Roman"/>
          <w:color w:val="C00000"/>
          <w:kern w:val="0"/>
        </w:rPr>
      </w:pPr>
    </w:p>
    <w:p>
      <w:pPr>
        <w:spacing w:line="360" w:lineRule="auto"/>
        <w:rPr>
          <w:rFonts w:hint="default" w:ascii="Times New Roman" w:hAnsi="Times New Roman" w:eastAsia="宋体" w:cs="Times New Roman"/>
          <w:color w:val="C00000"/>
          <w:kern w:val="0"/>
        </w:rPr>
      </w:pPr>
    </w:p>
    <w:p>
      <w:pPr>
        <w:spacing w:line="360" w:lineRule="auto"/>
        <w:rPr>
          <w:rFonts w:hint="default" w:ascii="Times New Roman" w:hAnsi="Times New Roman" w:eastAsia="宋体" w:cs="Times New Roman"/>
          <w:color w:val="C00000"/>
          <w:kern w:val="0"/>
        </w:rPr>
      </w:pPr>
    </w:p>
    <w:p>
      <w:pPr>
        <w:spacing w:line="360" w:lineRule="auto"/>
        <w:rPr>
          <w:rFonts w:hint="default" w:ascii="Times New Roman" w:hAnsi="Times New Roman" w:eastAsia="宋体" w:cs="Times New Roman"/>
          <w:color w:val="C00000"/>
          <w:kern w:val="0"/>
        </w:rPr>
      </w:pPr>
    </w:p>
    <w:p>
      <w:pPr>
        <w:spacing w:line="360" w:lineRule="auto"/>
        <w:rPr>
          <w:rFonts w:hint="default" w:ascii="Times New Roman" w:hAnsi="Times New Roman" w:eastAsia="宋体" w:cs="Times New Roman"/>
          <w:color w:val="C00000"/>
          <w:kern w:val="0"/>
        </w:rPr>
      </w:pPr>
    </w:p>
    <w:p>
      <w:pPr>
        <w:spacing w:line="360" w:lineRule="auto"/>
        <w:rPr>
          <w:rFonts w:hint="default" w:ascii="Times New Roman" w:hAnsi="Times New Roman" w:eastAsia="宋体" w:cs="Times New Roman"/>
          <w:color w:val="C00000"/>
          <w:kern w:val="0"/>
        </w:rPr>
      </w:pPr>
    </w:p>
    <w:p>
      <w:pPr>
        <w:spacing w:line="360" w:lineRule="auto"/>
        <w:rPr>
          <w:rFonts w:hint="default" w:ascii="Times New Roman" w:hAnsi="Times New Roman" w:eastAsia="宋体" w:cs="Times New Roman"/>
          <w:color w:val="C00000"/>
          <w:kern w:val="0"/>
        </w:rPr>
      </w:pPr>
    </w:p>
    <w:p>
      <w:pPr>
        <w:spacing w:line="360" w:lineRule="auto"/>
        <w:rPr>
          <w:rFonts w:hint="default" w:ascii="Times New Roman" w:hAnsi="Times New Roman" w:eastAsia="宋体" w:cs="Times New Roman"/>
          <w:color w:val="C00000"/>
          <w:kern w:val="0"/>
        </w:rPr>
      </w:pPr>
    </w:p>
    <w:p>
      <w:pPr>
        <w:wordWrap w:val="0"/>
        <w:ind w:firstLine="3780" w:firstLineChars="1350"/>
        <w:jc w:val="right"/>
        <w:rPr>
          <w:rFonts w:hint="default" w:ascii="Times New Roman" w:hAnsi="Times New Roman" w:eastAsia="宋体" w:cs="Times New Roman"/>
          <w:color w:val="auto"/>
          <w:kern w:val="0"/>
          <w:sz w:val="28"/>
          <w:lang w:val="en-US" w:eastAsia="zh-CN"/>
        </w:rPr>
      </w:pPr>
      <w:r>
        <w:rPr>
          <w:rFonts w:hint="default" w:ascii="Times New Roman" w:hAnsi="Times New Roman" w:eastAsia="宋体" w:cs="Times New Roman"/>
          <w:color w:val="auto"/>
          <w:kern w:val="0"/>
          <w:sz w:val="28"/>
        </w:rPr>
        <w:t>委托单位（盖章）：</w:t>
      </w:r>
      <w:r>
        <w:rPr>
          <w:rFonts w:hint="default" w:ascii="Times New Roman" w:hAnsi="Times New Roman" w:eastAsia="宋体" w:cs="Times New Roman"/>
          <w:color w:val="auto"/>
          <w:kern w:val="0"/>
          <w:sz w:val="28"/>
          <w:lang w:val="en-US" w:eastAsia="zh-CN"/>
        </w:rPr>
        <w:t xml:space="preserve">      </w:t>
      </w:r>
    </w:p>
    <w:p>
      <w:pPr>
        <w:wordWrap w:val="0"/>
        <w:ind w:firstLine="3780" w:firstLineChars="1350"/>
        <w:jc w:val="right"/>
        <w:rPr>
          <w:rFonts w:hint="default" w:ascii="Times New Roman" w:hAnsi="Times New Roman" w:eastAsia="宋体" w:cs="Times New Roman"/>
          <w:color w:val="auto"/>
          <w:kern w:val="0"/>
          <w:sz w:val="28"/>
          <w:lang w:val="en-US" w:eastAsia="zh-CN"/>
        </w:rPr>
      </w:pPr>
      <w:r>
        <w:rPr>
          <w:rFonts w:hint="default" w:ascii="Times New Roman" w:hAnsi="Times New Roman" w:eastAsia="宋体" w:cs="Times New Roman"/>
          <w:color w:val="auto"/>
          <w:kern w:val="0"/>
          <w:sz w:val="28"/>
        </w:rPr>
        <w:t>法人代表（签字）：</w:t>
      </w:r>
      <w:r>
        <w:rPr>
          <w:rFonts w:hint="default" w:ascii="Times New Roman" w:hAnsi="Times New Roman" w:eastAsia="宋体" w:cs="Times New Roman"/>
          <w:color w:val="auto"/>
          <w:kern w:val="0"/>
          <w:sz w:val="28"/>
          <w:lang w:val="en-US" w:eastAsia="zh-CN"/>
        </w:rPr>
        <w:t xml:space="preserve">      </w:t>
      </w:r>
    </w:p>
    <w:p>
      <w:pPr>
        <w:pStyle w:val="2"/>
        <w:tabs>
          <w:tab w:val="left" w:pos="2659"/>
        </w:tabs>
        <w:wordWrap w:val="0"/>
        <w:spacing w:after="0"/>
        <w:ind w:left="0" w:leftChars="0" w:firstLine="0" w:firstLineChars="0"/>
        <w:jc w:val="right"/>
        <w:rPr>
          <w:rFonts w:hint="default" w:ascii="Times New Roman" w:hAnsi="Times New Roman" w:eastAsia="宋体" w:cs="Times New Roman"/>
          <w:color w:val="auto"/>
          <w:kern w:val="0"/>
          <w:sz w:val="28"/>
          <w:lang w:val="en-US" w:eastAsia="zh-CN"/>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r>
        <w:rPr>
          <w:rFonts w:hint="default" w:ascii="Times New Roman" w:hAnsi="Times New Roman" w:eastAsia="宋体" w:cs="Times New Roman"/>
          <w:color w:val="auto"/>
          <w:kern w:val="0"/>
          <w:sz w:val="28"/>
        </w:rPr>
        <w:t xml:space="preserve">年 </w:t>
      </w:r>
      <w:r>
        <w:rPr>
          <w:rFonts w:hint="default" w:ascii="Times New Roman" w:hAnsi="Times New Roman" w:eastAsia="宋体" w:cs="Times New Roman"/>
          <w:color w:val="auto"/>
          <w:kern w:val="0"/>
          <w:sz w:val="28"/>
          <w:lang w:val="en-US" w:eastAsia="zh-CN"/>
        </w:rPr>
        <w:t xml:space="preserve">  </w:t>
      </w:r>
      <w:r>
        <w:rPr>
          <w:rFonts w:hint="default" w:ascii="Times New Roman" w:hAnsi="Times New Roman" w:eastAsia="宋体" w:cs="Times New Roman"/>
          <w:color w:val="auto"/>
          <w:kern w:val="0"/>
          <w:sz w:val="28"/>
        </w:rPr>
        <w:t xml:space="preserve"> 月</w:t>
      </w:r>
      <w:r>
        <w:rPr>
          <w:rFonts w:hint="default" w:ascii="Times New Roman" w:hAnsi="Times New Roman" w:eastAsia="宋体" w:cs="Times New Roman"/>
          <w:color w:val="auto"/>
          <w:kern w:val="0"/>
          <w:sz w:val="28"/>
          <w:lang w:val="en-US" w:eastAsia="zh-CN"/>
        </w:rPr>
        <w:t xml:space="preserve">    日 </w:t>
      </w:r>
      <w:r>
        <w:rPr>
          <w:rFonts w:hint="eastAsia" w:cs="Times New Roman"/>
          <w:color w:val="auto"/>
          <w:kern w:val="0"/>
          <w:sz w:val="28"/>
          <w:lang w:val="en-US" w:eastAsia="zh-CN"/>
        </w:rPr>
        <w:t xml:space="preserve">         </w:t>
      </w:r>
    </w:p>
    <w:p>
      <w:pPr>
        <w:pStyle w:val="2"/>
        <w:tabs>
          <w:tab w:val="left" w:pos="2659"/>
        </w:tabs>
        <w:spacing w:after="0"/>
        <w:ind w:left="0" w:leftChars="0" w:firstLine="0" w:firstLineChars="0"/>
        <w:rPr>
          <w:rFonts w:hint="default" w:ascii="Times New Roman" w:hAnsi="Times New Roman" w:eastAsia="宋体" w:cs="Times New Roman"/>
          <w:b/>
          <w:bCs/>
          <w:kern w:val="0"/>
          <w:sz w:val="28"/>
          <w:szCs w:val="28"/>
        </w:rPr>
      </w:pPr>
      <w:r>
        <w:rPr>
          <w:rFonts w:hint="default" w:ascii="Times New Roman" w:hAnsi="Times New Roman" w:eastAsia="宋体" w:cs="Times New Roman"/>
          <w:b/>
          <w:bCs/>
          <w:kern w:val="0"/>
          <w:sz w:val="28"/>
          <w:szCs w:val="28"/>
        </w:rPr>
        <w:t>附件</w:t>
      </w:r>
      <w:r>
        <w:rPr>
          <w:rFonts w:hint="eastAsia" w:cs="Times New Roman"/>
          <w:b/>
          <w:bCs/>
          <w:kern w:val="0"/>
          <w:sz w:val="28"/>
          <w:szCs w:val="28"/>
          <w:lang w:val="en-US" w:eastAsia="zh-CN"/>
        </w:rPr>
        <w:t>6</w:t>
      </w:r>
      <w:r>
        <w:rPr>
          <w:rFonts w:hint="default" w:ascii="Times New Roman" w:hAnsi="Times New Roman" w:eastAsia="宋体" w:cs="Times New Roman"/>
          <w:b/>
          <w:bCs/>
          <w:kern w:val="0"/>
          <w:sz w:val="28"/>
          <w:szCs w:val="28"/>
        </w:rPr>
        <w:t xml:space="preserve"> 租赁协议</w:t>
      </w:r>
      <w:r>
        <w:rPr>
          <w:rFonts w:hint="default" w:ascii="Times New Roman" w:hAnsi="Times New Roman" w:eastAsia="宋体" w:cs="Times New Roman"/>
          <w:b/>
          <w:bCs/>
          <w:kern w:val="0"/>
          <w:sz w:val="28"/>
          <w:szCs w:val="28"/>
        </w:rPr>
        <w:tab/>
      </w:r>
    </w:p>
    <w:p>
      <w:pPr>
        <w:rPr>
          <w:rFonts w:hint="default" w:ascii="Times New Roman" w:hAnsi="Times New Roman" w:eastAsia="宋体" w:cs="Times New Roman"/>
          <w:kern w:val="0"/>
        </w:rPr>
      </w:pPr>
      <w:r>
        <w:rPr>
          <w:rFonts w:hint="default" w:ascii="Times New Roman" w:hAnsi="Times New Roman" w:eastAsia="宋体" w:cs="Times New Roman"/>
          <w:kern w:val="0"/>
        </w:rPr>
        <w:drawing>
          <wp:inline distT="0" distB="0" distL="114300" distR="114300">
            <wp:extent cx="5414010" cy="7285355"/>
            <wp:effectExtent l="0" t="0" r="15240" b="10795"/>
            <wp:docPr id="31" name="图片 31" descr="6fef98dcdc07ba9a19aa6f1cdb37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fef98dcdc07ba9a19aa6f1cdb376f9"/>
                    <pic:cNvPicPr>
                      <a:picLocks noChangeAspect="1"/>
                    </pic:cNvPicPr>
                  </pic:nvPicPr>
                  <pic:blipFill>
                    <a:blip r:embed="rId25"/>
                    <a:srcRect l="8741" t="3608" r="3014" b="7342"/>
                    <a:stretch>
                      <a:fillRect/>
                    </a:stretch>
                  </pic:blipFill>
                  <pic:spPr>
                    <a:xfrm>
                      <a:off x="0" y="0"/>
                      <a:ext cx="5414010" cy="7285355"/>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b/>
          <w:bCs/>
          <w:kern w:val="0"/>
          <w:sz w:val="28"/>
          <w:szCs w:val="28"/>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p>
    <w:p>
      <w:pPr>
        <w:pStyle w:val="24"/>
        <w:jc w:val="both"/>
        <w:rPr>
          <w:rFonts w:hint="default" w:ascii="Times New Roman" w:hAnsi="Times New Roman" w:eastAsia="宋体" w:cs="Times New Roman"/>
          <w:b/>
          <w:bCs/>
          <w:kern w:val="0"/>
          <w:szCs w:val="24"/>
        </w:rPr>
      </w:pPr>
      <w:r>
        <w:rPr>
          <w:rFonts w:hint="default" w:ascii="Times New Roman" w:hAnsi="Times New Roman" w:eastAsia="宋体" w:cs="Times New Roman"/>
          <w:color w:val="auto"/>
          <w:kern w:val="0"/>
          <w:sz w:val="28"/>
          <w:lang w:val="en-US" w:eastAsia="zh-CN"/>
        </w:rPr>
        <w:t xml:space="preserve">  </w:t>
      </w:r>
      <w:r>
        <w:rPr>
          <w:rFonts w:hint="default" w:ascii="Times New Roman" w:hAnsi="Times New Roman" w:eastAsia="宋体" w:cs="Times New Roman"/>
          <w:color w:val="auto"/>
          <w:kern w:val="0"/>
          <w:sz w:val="28"/>
        </w:rPr>
        <w:t xml:space="preserve"> </w:t>
      </w:r>
      <w:r>
        <w:rPr>
          <w:rFonts w:hint="default" w:ascii="Times New Roman" w:hAnsi="Times New Roman" w:eastAsia="宋体" w:cs="Times New Roman"/>
          <w:b/>
          <w:bCs/>
          <w:kern w:val="0"/>
          <w:szCs w:val="24"/>
        </w:rPr>
        <w:t>附图1 项目地理位置图（比例尺1:</w:t>
      </w:r>
      <w:r>
        <w:rPr>
          <w:rFonts w:hint="default" w:ascii="Times New Roman" w:hAnsi="Times New Roman" w:eastAsia="宋体" w:cs="Times New Roman"/>
          <w:b/>
          <w:bCs/>
          <w:kern w:val="0"/>
          <w:szCs w:val="24"/>
          <w:lang w:val="en-US" w:eastAsia="zh-CN"/>
        </w:rPr>
        <w:t>57897</w:t>
      </w:r>
      <w:r>
        <w:rPr>
          <w:rFonts w:hint="default" w:ascii="Times New Roman" w:hAnsi="Times New Roman" w:eastAsia="宋体" w:cs="Times New Roman"/>
          <w:b/>
          <w:bCs/>
          <w:kern w:val="0"/>
          <w:szCs w:val="24"/>
        </w:rPr>
        <w:t>）</w:t>
      </w:r>
    </w:p>
    <w:p>
      <w:pPr>
        <w:rPr>
          <w:rFonts w:hint="default" w:ascii="Times New Roman" w:hAnsi="Times New Roman" w:eastAsia="宋体" w:cs="Times New Roman"/>
          <w:kern w:val="0"/>
        </w:rPr>
        <w:sectPr>
          <w:pgSz w:w="16838" w:h="11906" w:orient="landscape"/>
          <w:pgMar w:top="1803" w:right="1440" w:bottom="1803" w:left="1440" w:header="850" w:footer="992" w:gutter="0"/>
          <w:pgBorders>
            <w:top w:val="none" w:sz="0" w:space="0"/>
            <w:left w:val="none" w:sz="0" w:space="0"/>
            <w:bottom w:val="none" w:sz="0" w:space="0"/>
            <w:right w:val="none" w:sz="0" w:space="0"/>
          </w:pgBorders>
          <w:cols w:space="720" w:num="1"/>
          <w:docGrid w:type="lines" w:linePitch="319" w:charSpace="0"/>
        </w:sectPr>
      </w:pPr>
      <w:r>
        <w:rPr>
          <w:rFonts w:hint="default" w:ascii="Times New Roman" w:hAnsi="Times New Roman" w:eastAsia="宋体" w:cs="Times New Roman"/>
          <w:kern w:val="0"/>
          <w:sz w:val="21"/>
        </w:rPr>
        <mc:AlternateContent>
          <mc:Choice Requires="wps">
            <w:drawing>
              <wp:anchor distT="0" distB="0" distL="114300" distR="114300" simplePos="0" relativeHeight="251667456" behindDoc="0" locked="0" layoutInCell="1" allowOverlap="1">
                <wp:simplePos x="0" y="0"/>
                <wp:positionH relativeFrom="column">
                  <wp:posOffset>2864485</wp:posOffset>
                </wp:positionH>
                <wp:positionV relativeFrom="paragraph">
                  <wp:posOffset>1179830</wp:posOffset>
                </wp:positionV>
                <wp:extent cx="961390" cy="304165"/>
                <wp:effectExtent l="6350" t="6350" r="22860" b="318135"/>
                <wp:wrapNone/>
                <wp:docPr id="6" name="矩形标注 6"/>
                <wp:cNvGraphicFramePr/>
                <a:graphic xmlns:a="http://schemas.openxmlformats.org/drawingml/2006/main">
                  <a:graphicData uri="http://schemas.microsoft.com/office/word/2010/wordprocessingShape">
                    <wps:wsp>
                      <wps:cNvSpPr/>
                      <wps:spPr>
                        <a:xfrm>
                          <a:off x="3883660" y="2717165"/>
                          <a:ext cx="961390" cy="304165"/>
                        </a:xfrm>
                        <a:prstGeom prst="wedgeRectCallout">
                          <a:avLst>
                            <a:gd name="adj1" fmla="val 1050"/>
                            <a:gd name="adj2" fmla="val 14777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5.55pt;margin-top:92.9pt;height:23.95pt;width:75.7pt;z-index:251667456;v-text-anchor:middle;mso-width-relative:page;mso-height-relative:page;" fillcolor="#5B9BD5 [3204]" filled="t" stroked="t" coordsize="21600,21600" o:gfxdata="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0sx/3&#10;3AAAAAsBAAAPAAAAAAAAAAEAIAAAACIAAABkcnMvZG93bnJldi54bWxQSwECFAAUAAAACACHTuJA&#10;48Tgj8gCAACOBQAADgAAAAAAAAABACAAAAArAQAAZHJzL2Uyb0RvYy54bWxQSwUGAAAAAAYABgBZ&#10;AQAAZQYAAAAA&#10;" adj="11027,42720">
                <v:fill on="t" focussize="0,0"/>
                <v:stroke weight="1pt" color="#41719C [3204]" miterlimit="8" joinstyle="miter"/>
                <v:imagedata o:title=""/>
                <o:lock v:ext="edit" aspectratio="f"/>
                <v:textbox>
                  <w:txbxContent>
                    <w:p>
                      <w:pPr>
                        <w:jc w:val="center"/>
                        <w:rPr>
                          <w:rFonts w:hint="eastAsia" w:eastAsia="宋体"/>
                          <w:lang w:val="en-US" w:eastAsia="zh-CN"/>
                        </w:rPr>
                      </w:pPr>
                      <w:r>
                        <w:rPr>
                          <w:rFonts w:hint="eastAsia"/>
                          <w:lang w:val="en-US" w:eastAsia="zh-CN"/>
                        </w:rPr>
                        <w:t>项目所在地</w:t>
                      </w:r>
                    </w:p>
                  </w:txbxContent>
                </v:textbox>
              </v:shape>
            </w:pict>
          </mc:Fallback>
        </mc:AlternateContent>
      </w:r>
      <w:r>
        <w:rPr>
          <w:rFonts w:hint="default" w:ascii="Times New Roman" w:hAnsi="Times New Roman" w:eastAsia="宋体" w:cs="Times New Roman"/>
          <w:kern w:val="0"/>
        </w:rPr>
        <w:drawing>
          <wp:inline distT="0" distB="0" distL="114300" distR="114300">
            <wp:extent cx="7655560" cy="4333875"/>
            <wp:effectExtent l="0" t="0" r="2540" b="9525"/>
            <wp:docPr id="43" name="图片 13" descr="C:\Users\Administrator\Desktop\胡杰\圣彩\图\1638232856(1).jpg163823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C:\Users\Administrator\Desktop\胡杰\圣彩\图\1638232856(1).jpg1638232856(1)"/>
                    <pic:cNvPicPr>
                      <a:picLocks noChangeAspect="1"/>
                    </pic:cNvPicPr>
                  </pic:nvPicPr>
                  <pic:blipFill>
                    <a:blip r:embed="rId26"/>
                    <a:srcRect/>
                    <a:stretch>
                      <a:fillRect/>
                    </a:stretch>
                  </pic:blipFill>
                  <pic:spPr>
                    <a:xfrm>
                      <a:off x="0" y="0"/>
                      <a:ext cx="7655560" cy="4333875"/>
                    </a:xfrm>
                    <a:prstGeom prst="rect">
                      <a:avLst/>
                    </a:prstGeom>
                    <a:noFill/>
                    <a:ln>
                      <a:noFill/>
                    </a:ln>
                  </pic:spPr>
                </pic:pic>
              </a:graphicData>
            </a:graphic>
          </wp:inline>
        </w:drawing>
      </w:r>
    </w:p>
    <w:p>
      <w:pPr>
        <w:pStyle w:val="2"/>
        <w:ind w:left="0" w:leftChars="0" w:firstLine="0" w:firstLineChars="0"/>
        <w:rPr>
          <w:rFonts w:hint="default" w:ascii="Times New Roman" w:hAnsi="Times New Roman" w:eastAsia="宋体" w:cs="Times New Roman"/>
          <w:kern w:val="0"/>
        </w:rPr>
      </w:pPr>
      <w:r>
        <w:rPr>
          <w:rFonts w:hint="default" w:ascii="Times New Roman" w:hAnsi="Times New Roman" w:eastAsia="宋体" w:cs="Times New Roman"/>
          <w:b/>
          <w:bCs/>
          <w:kern w:val="0"/>
        </w:rPr>
        <w:t>附图2 厂区总体平面布置图（1:600）</w:t>
      </w:r>
    </w:p>
    <w:p>
      <w:pPr>
        <w:pStyle w:val="2"/>
        <w:spacing w:after="0"/>
        <w:ind w:left="0" w:leftChars="0" w:firstLine="0" w:firstLineChars="0"/>
        <w:jc w:val="center"/>
        <w:rPr>
          <w:rFonts w:hint="default" w:ascii="Times New Roman" w:hAnsi="Times New Roman" w:eastAsia="宋体" w:cs="Times New Roman"/>
          <w:kern w:val="0"/>
        </w:rPr>
      </w:pPr>
      <w:r>
        <w:rPr>
          <w:rFonts w:hint="default" w:ascii="Times New Roman" w:hAnsi="Times New Roman" w:eastAsia="宋体" w:cs="Times New Roman"/>
          <w:kern w:val="0"/>
        </w:rPr>
        <w:drawing>
          <wp:inline distT="0" distB="0" distL="114300" distR="114300">
            <wp:extent cx="5263515" cy="6361430"/>
            <wp:effectExtent l="0" t="0" r="13335" b="12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7"/>
                    <a:stretch>
                      <a:fillRect/>
                    </a:stretch>
                  </pic:blipFill>
                  <pic:spPr>
                    <a:xfrm>
                      <a:off x="0" y="0"/>
                      <a:ext cx="5263515" cy="6361430"/>
                    </a:xfrm>
                    <a:prstGeom prst="rect">
                      <a:avLst/>
                    </a:prstGeom>
                    <a:noFill/>
                    <a:ln>
                      <a:noFill/>
                    </a:ln>
                  </pic:spPr>
                </pic:pic>
              </a:graphicData>
            </a:graphic>
          </wp:inline>
        </w:drawing>
      </w:r>
    </w:p>
    <w:p>
      <w:pPr>
        <w:pStyle w:val="2"/>
        <w:ind w:left="0" w:leftChars="0" w:firstLine="0" w:firstLineChars="0"/>
        <w:rPr>
          <w:rFonts w:hint="default" w:ascii="Times New Roman" w:hAnsi="Times New Roman" w:eastAsia="宋体" w:cs="Times New Roman"/>
          <w:b/>
          <w:bCs/>
          <w:kern w:val="0"/>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p>
    <w:p>
      <w:pPr>
        <w:pStyle w:val="2"/>
        <w:ind w:left="0" w:leftChars="0" w:firstLine="0" w:firstLineChars="0"/>
        <w:rPr>
          <w:rFonts w:hint="default" w:ascii="Times New Roman" w:hAnsi="Times New Roman" w:eastAsia="宋体" w:cs="Times New Roman"/>
          <w:b/>
          <w:bCs/>
          <w:kern w:val="0"/>
        </w:rPr>
      </w:pPr>
      <w:r>
        <w:rPr>
          <w:rFonts w:hint="default" w:ascii="Times New Roman" w:hAnsi="Times New Roman" w:eastAsia="宋体" w:cs="Times New Roman"/>
          <w:b/>
          <w:bCs/>
          <w:kern w:val="0"/>
        </w:rPr>
        <w:t>附图3 分区防渗图（1:600）</w:t>
      </w:r>
    </w:p>
    <w:p>
      <w:pPr>
        <w:jc w:val="center"/>
        <w:rPr>
          <w:rFonts w:hint="default" w:ascii="Times New Roman" w:hAnsi="Times New Roman" w:eastAsia="宋体" w:cs="Times New Roman"/>
          <w:kern w:val="0"/>
        </w:rPr>
      </w:pPr>
      <w:r>
        <w:rPr>
          <w:rFonts w:hint="default" w:ascii="Times New Roman" w:hAnsi="Times New Roman" w:eastAsia="宋体" w:cs="Times New Roman"/>
          <w:kern w:val="0"/>
        </w:rPr>
        <w:drawing>
          <wp:inline distT="0" distB="0" distL="114300" distR="114300">
            <wp:extent cx="5443855" cy="7479030"/>
            <wp:effectExtent l="0" t="0" r="4445"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8"/>
                    <a:stretch>
                      <a:fillRect/>
                    </a:stretch>
                  </pic:blipFill>
                  <pic:spPr>
                    <a:xfrm>
                      <a:off x="0" y="0"/>
                      <a:ext cx="5443855" cy="7479030"/>
                    </a:xfrm>
                    <a:prstGeom prst="rect">
                      <a:avLst/>
                    </a:prstGeom>
                    <a:noFill/>
                    <a:ln>
                      <a:noFill/>
                    </a:ln>
                  </pic:spPr>
                </pic:pic>
              </a:graphicData>
            </a:graphic>
          </wp:inline>
        </w:drawing>
      </w:r>
    </w:p>
    <w:p>
      <w:pPr>
        <w:pStyle w:val="2"/>
        <w:ind w:firstLine="480"/>
        <w:rPr>
          <w:rFonts w:hint="default" w:ascii="Times New Roman" w:hAnsi="Times New Roman" w:eastAsia="宋体" w:cs="Times New Roman"/>
          <w:kern w:val="0"/>
        </w:rPr>
      </w:pPr>
    </w:p>
    <w:p>
      <w:pPr>
        <w:rPr>
          <w:rFonts w:hint="default" w:ascii="Times New Roman" w:hAnsi="Times New Roman" w:eastAsia="宋体" w:cs="Times New Roman"/>
          <w:kern w:val="0"/>
        </w:rPr>
      </w:pPr>
    </w:p>
    <w:p>
      <w:pPr>
        <w:rPr>
          <w:rFonts w:hint="default" w:ascii="Times New Roman" w:hAnsi="Times New Roman" w:eastAsia="宋体" w:cs="Times New Roman"/>
          <w:kern w:val="0"/>
        </w:rPr>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p>
    <w:p>
      <w:pPr>
        <w:pStyle w:val="2"/>
        <w:ind w:firstLine="480"/>
        <w:rPr>
          <w:rFonts w:hint="default" w:ascii="Times New Roman" w:hAnsi="Times New Roman" w:eastAsia="宋体" w:cs="Times New Roman"/>
          <w:kern w:val="0"/>
        </w:rPr>
      </w:pPr>
      <w:r>
        <w:rPr>
          <w:rFonts w:hint="default" w:ascii="Times New Roman" w:hAnsi="Times New Roman" w:eastAsia="宋体" w:cs="Times New Roman"/>
          <w:kern w:val="0"/>
        </w:rPr>
        <mc:AlternateContent>
          <mc:Choice Requires="wps">
            <w:drawing>
              <wp:anchor distT="0" distB="0" distL="114300" distR="114300" simplePos="0" relativeHeight="251663360" behindDoc="0" locked="0" layoutInCell="1" allowOverlap="1">
                <wp:simplePos x="0" y="0"/>
                <wp:positionH relativeFrom="column">
                  <wp:posOffset>13970</wp:posOffset>
                </wp:positionH>
                <wp:positionV relativeFrom="paragraph">
                  <wp:posOffset>-33020</wp:posOffset>
                </wp:positionV>
                <wp:extent cx="3492500" cy="307340"/>
                <wp:effectExtent l="0" t="0" r="0" b="0"/>
                <wp:wrapNone/>
                <wp:docPr id="62" name="自选图形 137"/>
                <wp:cNvGraphicFramePr/>
                <a:graphic xmlns:a="http://schemas.openxmlformats.org/drawingml/2006/main">
                  <a:graphicData uri="http://schemas.microsoft.com/office/word/2010/wordprocessingShape">
                    <wps:wsp>
                      <wps:cNvSpPr/>
                      <wps:spPr>
                        <a:xfrm>
                          <a:off x="0" y="0"/>
                          <a:ext cx="3492500" cy="307340"/>
                        </a:xfrm>
                        <a:prstGeom prst="flowChartProcess">
                          <a:avLst/>
                        </a:prstGeom>
                        <a:noFill/>
                        <a:ln>
                          <a:noFill/>
                        </a:ln>
                      </wps:spPr>
                      <wps:txbx>
                        <w:txbxContent>
                          <w:p>
                            <w:pPr>
                              <w:pStyle w:val="2"/>
                              <w:ind w:left="0" w:leftChars="0" w:firstLine="0" w:firstLineChars="0"/>
                              <w:rPr>
                                <w:rFonts w:hint="eastAsia" w:eastAsia="宋体"/>
                                <w:b/>
                                <w:bCs/>
                                <w:lang w:eastAsia="zh-CN"/>
                              </w:rPr>
                            </w:pPr>
                            <w:r>
                              <w:rPr>
                                <w:b/>
                                <w:bCs/>
                              </w:rPr>
                              <w:t>附图</w:t>
                            </w:r>
                            <w:r>
                              <w:rPr>
                                <w:rFonts w:hint="eastAsia"/>
                                <w:b/>
                                <w:bCs/>
                              </w:rPr>
                              <w:t>4</w:t>
                            </w:r>
                            <w:r>
                              <w:rPr>
                                <w:b/>
                                <w:bCs/>
                              </w:rPr>
                              <w:t xml:space="preserve"> </w:t>
                            </w:r>
                            <w:r>
                              <w:rPr>
                                <w:rFonts w:hint="eastAsia"/>
                                <w:b/>
                                <w:bCs/>
                              </w:rPr>
                              <w:t>环境保护目标分布图</w:t>
                            </w:r>
                            <w:r>
                              <w:rPr>
                                <w:b/>
                                <w:bCs/>
                              </w:rPr>
                              <w:t>（比例尺1:</w:t>
                            </w:r>
                            <w:r>
                              <w:rPr>
                                <w:rFonts w:hint="eastAsia"/>
                                <w:b/>
                                <w:bCs/>
                              </w:rPr>
                              <w:t>7236</w:t>
                            </w:r>
                            <w:r>
                              <w:rPr>
                                <w:b/>
                                <w:bCs/>
                              </w:rPr>
                              <w:t>）</w:t>
                            </w:r>
                          </w:p>
                          <w:p/>
                        </w:txbxContent>
                      </wps:txbx>
                      <wps:bodyPr vert="horz" wrap="square" anchor="t" anchorCtr="0" upright="1"/>
                    </wps:wsp>
                  </a:graphicData>
                </a:graphic>
              </wp:anchor>
            </w:drawing>
          </mc:Choice>
          <mc:Fallback>
            <w:pict>
              <v:shape id="自选图形 137" o:spid="_x0000_s1026" o:spt="109" type="#_x0000_t109" style="position:absolute;left:0pt;margin-left:1.1pt;margin-top:-2.6pt;height:24.2pt;width:275pt;z-index:251663360;mso-width-relative:page;mso-height-relative:page;" filled="f" stroked="f" coordsize="21600,21600" o:gfxdata="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C4uZfTAAAABwEAAA8AAAAAAAAAAQAgAAAA&#10;IgAAAGRycy9kb3ducmV2LnhtbFBLAQIUABQAAAAIAIdO4kC/9/D+1wEAAIkDAAAOAAAAAAAAAAEA&#10;IAAAACIBAABkcnMvZTJvRG9jLnhtbFBLBQYAAAAABgAGAFkBAABrBQAAAAA=&#10;">
                <v:fill on="f" focussize="0,0"/>
                <v:stroke on="f"/>
                <v:imagedata o:title=""/>
                <o:lock v:ext="edit" aspectratio="f"/>
                <v:textbox>
                  <w:txbxContent>
                    <w:p>
                      <w:pPr>
                        <w:pStyle w:val="2"/>
                        <w:ind w:left="0" w:leftChars="0" w:firstLine="0" w:firstLineChars="0"/>
                        <w:rPr>
                          <w:rFonts w:hint="eastAsia" w:eastAsia="宋体"/>
                          <w:b/>
                          <w:bCs/>
                          <w:lang w:eastAsia="zh-CN"/>
                        </w:rPr>
                      </w:pPr>
                      <w:r>
                        <w:rPr>
                          <w:b/>
                          <w:bCs/>
                        </w:rPr>
                        <w:t>附图</w:t>
                      </w:r>
                      <w:r>
                        <w:rPr>
                          <w:rFonts w:hint="eastAsia"/>
                          <w:b/>
                          <w:bCs/>
                        </w:rPr>
                        <w:t>4</w:t>
                      </w:r>
                      <w:r>
                        <w:rPr>
                          <w:b/>
                          <w:bCs/>
                        </w:rPr>
                        <w:t xml:space="preserve"> </w:t>
                      </w:r>
                      <w:r>
                        <w:rPr>
                          <w:rFonts w:hint="eastAsia"/>
                          <w:b/>
                          <w:bCs/>
                        </w:rPr>
                        <w:t>环境保护目标分布图</w:t>
                      </w:r>
                      <w:r>
                        <w:rPr>
                          <w:b/>
                          <w:bCs/>
                        </w:rPr>
                        <w:t>（比例尺1:</w:t>
                      </w:r>
                      <w:r>
                        <w:rPr>
                          <w:rFonts w:hint="eastAsia"/>
                          <w:b/>
                          <w:bCs/>
                        </w:rPr>
                        <w:t>7236</w:t>
                      </w:r>
                      <w:r>
                        <w:rPr>
                          <w:b/>
                          <w:bCs/>
                        </w:rPr>
                        <w:t>）</w:t>
                      </w:r>
                    </w:p>
                    <w:p/>
                  </w:txbxContent>
                </v:textbox>
              </v:shape>
            </w:pict>
          </mc:Fallback>
        </mc:AlternateContent>
      </w:r>
    </w:p>
    <w:p>
      <w:pPr>
        <w:pStyle w:val="2"/>
        <w:ind w:left="0" w:leftChars="0" w:firstLine="0" w:firstLineChars="0"/>
        <w:jc w:val="center"/>
        <w:rPr>
          <w:rFonts w:hint="default" w:ascii="Times New Roman" w:hAnsi="Times New Roman" w:eastAsia="宋体" w:cs="Times New Roman"/>
          <w:kern w:val="0"/>
        </w:rPr>
      </w:pPr>
      <w:r>
        <w:rPr>
          <w:rFonts w:hint="default" w:ascii="Times New Roman" w:hAnsi="Times New Roman" w:eastAsia="宋体" w:cs="Times New Roman"/>
          <w:kern w:val="0"/>
        </w:rPr>
        <w:drawing>
          <wp:inline distT="0" distB="0" distL="114300" distR="114300">
            <wp:extent cx="8592185" cy="4872990"/>
            <wp:effectExtent l="0" t="0" r="18415" b="3810"/>
            <wp:docPr id="50" name="图片 50" descr="1637126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37126734(1)"/>
                    <pic:cNvPicPr>
                      <a:picLocks noChangeAspect="1"/>
                    </pic:cNvPicPr>
                  </pic:nvPicPr>
                  <pic:blipFill>
                    <a:blip r:embed="rId29"/>
                    <a:stretch>
                      <a:fillRect/>
                    </a:stretch>
                  </pic:blipFill>
                  <pic:spPr>
                    <a:xfrm>
                      <a:off x="0" y="0"/>
                      <a:ext cx="8592185" cy="487299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b/>
          <w:bCs/>
          <w:kern w:val="0"/>
        </w:rPr>
        <w:sectPr>
          <w:pgSz w:w="16838" w:h="11906" w:orient="landscape"/>
          <w:pgMar w:top="1803" w:right="1440" w:bottom="1803" w:left="1440" w:header="850" w:footer="992" w:gutter="0"/>
          <w:pgBorders>
            <w:top w:val="none" w:sz="0" w:space="0"/>
            <w:left w:val="none" w:sz="0" w:space="0"/>
            <w:bottom w:val="none" w:sz="0" w:space="0"/>
            <w:right w:val="none" w:sz="0" w:space="0"/>
          </w:pgBorders>
          <w:cols w:space="720" w:num="1"/>
          <w:docGrid w:type="lines" w:linePitch="319" w:charSpace="0"/>
        </w:sectPr>
      </w:pPr>
    </w:p>
    <w:p>
      <w:pPr>
        <w:pStyle w:val="2"/>
        <w:ind w:left="0" w:leftChars="0" w:firstLine="0" w:firstLineChars="0"/>
        <w:rPr>
          <w:rFonts w:hint="default" w:ascii="Times New Roman" w:hAnsi="Times New Roman" w:eastAsia="宋体" w:cs="Times New Roman"/>
          <w:b/>
          <w:bCs/>
          <w:kern w:val="0"/>
        </w:rPr>
      </w:pPr>
      <w:r>
        <w:rPr>
          <w:rFonts w:hint="default" w:ascii="Times New Roman" w:hAnsi="Times New Roman" w:eastAsia="宋体" w:cs="Times New Roman"/>
          <w:b/>
          <w:bCs/>
          <w:kern w:val="0"/>
        </w:rPr>
        <w:t>附图5 项目周边关系图（比例尺1:917）</w:t>
      </w:r>
    </w:p>
    <w:p>
      <w:pPr>
        <w:jc w:val="center"/>
        <w:rPr>
          <w:rFonts w:hint="default" w:ascii="Times New Roman" w:hAnsi="Times New Roman" w:eastAsia="宋体" w:cs="Times New Roman"/>
          <w:kern w:val="0"/>
        </w:rPr>
        <w:sectPr>
          <w:pgSz w:w="16838" w:h="11906" w:orient="landscape"/>
          <w:pgMar w:top="1803" w:right="1440" w:bottom="1803" w:left="1440" w:header="850" w:footer="992" w:gutter="0"/>
          <w:pgBorders>
            <w:top w:val="none" w:sz="0" w:space="0"/>
            <w:left w:val="none" w:sz="0" w:space="0"/>
            <w:bottom w:val="none" w:sz="0" w:space="0"/>
            <w:right w:val="none" w:sz="0" w:space="0"/>
          </w:pgBorders>
          <w:cols w:space="720" w:num="1"/>
          <w:docGrid w:type="lines" w:linePitch="319" w:charSpace="0"/>
        </w:sectPr>
      </w:pPr>
      <w:r>
        <w:rPr>
          <w:rFonts w:hint="default" w:ascii="Times New Roman" w:hAnsi="Times New Roman" w:eastAsia="宋体" w:cs="Times New Roman"/>
          <w:kern w:val="0"/>
        </w:rPr>
        <w:drawing>
          <wp:inline distT="0" distB="0" distL="114300" distR="114300">
            <wp:extent cx="7151370" cy="4803140"/>
            <wp:effectExtent l="0" t="0" r="11430" b="1651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30"/>
                    <a:stretch>
                      <a:fillRect/>
                    </a:stretch>
                  </pic:blipFill>
                  <pic:spPr>
                    <a:xfrm>
                      <a:off x="0" y="0"/>
                      <a:ext cx="7151370" cy="4803140"/>
                    </a:xfrm>
                    <a:prstGeom prst="rect">
                      <a:avLst/>
                    </a:prstGeom>
                    <a:noFill/>
                    <a:ln>
                      <a:noFill/>
                    </a:ln>
                  </pic:spPr>
                </pic:pic>
              </a:graphicData>
            </a:graphic>
          </wp:inline>
        </w:drawing>
      </w:r>
    </w:p>
    <w:p>
      <w:pPr>
        <w:pStyle w:val="2"/>
        <w:ind w:left="0" w:leftChars="0" w:firstLine="0" w:firstLineChars="0"/>
        <w:rPr>
          <w:rFonts w:hint="default" w:ascii="Times New Roman" w:hAnsi="Times New Roman" w:eastAsia="宋体" w:cs="Times New Roman"/>
          <w:b/>
          <w:bCs/>
          <w:kern w:val="0"/>
        </w:rPr>
      </w:pPr>
      <w:r>
        <w:rPr>
          <w:rFonts w:hint="default" w:ascii="Times New Roman" w:hAnsi="Times New Roman" w:eastAsia="宋体" w:cs="Times New Roman"/>
          <w:b/>
          <w:bCs/>
          <w:kern w:val="0"/>
        </w:rPr>
        <w:t>附图6 淄博市省级生态保护红线图</w:t>
      </w:r>
    </w:p>
    <w:p>
      <w:pPr>
        <w:pStyle w:val="2"/>
        <w:ind w:left="0" w:leftChars="0" w:firstLine="0" w:firstLineChars="0"/>
        <w:rPr>
          <w:rFonts w:hint="default" w:ascii="Times New Roman" w:hAnsi="Times New Roman" w:eastAsia="宋体" w:cs="Times New Roman"/>
          <w:kern w:val="0"/>
        </w:rPr>
      </w:pPr>
      <w:r>
        <w:rPr>
          <w:rFonts w:hint="default" w:ascii="Times New Roman" w:hAnsi="Times New Roman" w:eastAsia="宋体" w:cs="Times New Roman"/>
          <w:kern w:val="0"/>
        </w:rPr>
        <mc:AlternateContent>
          <mc:Choice Requires="wps">
            <w:drawing>
              <wp:anchor distT="0" distB="0" distL="114300" distR="114300" simplePos="0" relativeHeight="251662336" behindDoc="0" locked="0" layoutInCell="1" allowOverlap="1">
                <wp:simplePos x="0" y="0"/>
                <wp:positionH relativeFrom="margin">
                  <wp:posOffset>1786890</wp:posOffset>
                </wp:positionH>
                <wp:positionV relativeFrom="paragraph">
                  <wp:posOffset>2977515</wp:posOffset>
                </wp:positionV>
                <wp:extent cx="914400" cy="356870"/>
                <wp:effectExtent l="4445" t="4445" r="319405" b="1200785"/>
                <wp:wrapNone/>
                <wp:docPr id="26" name="AutoShape 3"/>
                <wp:cNvGraphicFramePr/>
                <a:graphic xmlns:a="http://schemas.openxmlformats.org/drawingml/2006/main">
                  <a:graphicData uri="http://schemas.microsoft.com/office/word/2010/wordprocessingShape">
                    <wps:wsp>
                      <wps:cNvSpPr/>
                      <wps:spPr>
                        <a:xfrm>
                          <a:off x="0" y="0"/>
                          <a:ext cx="914400" cy="356870"/>
                        </a:xfrm>
                        <a:prstGeom prst="wedgeRectCallout">
                          <a:avLst>
                            <a:gd name="adj1" fmla="val 82361"/>
                            <a:gd name="adj2" fmla="val 374911"/>
                          </a:avLst>
                        </a:prstGeom>
                        <a:noFill/>
                        <a:ln w="9525" cap="flat" cmpd="sng">
                          <a:solidFill>
                            <a:srgbClr val="000000"/>
                          </a:solidFill>
                          <a:prstDash val="solid"/>
                          <a:miter/>
                          <a:headEnd type="none" w="med" len="med"/>
                          <a:tailEnd type="none" w="med" len="med"/>
                        </a:ln>
                      </wps:spPr>
                      <wps:txbx>
                        <w:txbxContent>
                          <w:p>
                            <w:pPr>
                              <w:rPr>
                                <w:b/>
                                <w:bCs/>
                                <w:color w:val="FF0000"/>
                              </w:rPr>
                            </w:pPr>
                            <w:r>
                              <w:rPr>
                                <w:rFonts w:hint="eastAsia"/>
                                <w:b/>
                                <w:bCs/>
                                <w:color w:val="FF0000"/>
                              </w:rPr>
                              <w:t>项目所在地</w:t>
                            </w:r>
                          </w:p>
                        </w:txbxContent>
                      </wps:txbx>
                      <wps:bodyPr wrap="square" upright="1"/>
                    </wps:wsp>
                  </a:graphicData>
                </a:graphic>
              </wp:anchor>
            </w:drawing>
          </mc:Choice>
          <mc:Fallback>
            <w:pict>
              <v:shape id="AutoShape 3" o:spid="_x0000_s1026" o:spt="61" type="#_x0000_t61" style="position:absolute;left:0pt;margin-left:140.7pt;margin-top:234.45pt;height:28.1pt;width:72pt;mso-position-horizontal-relative:margin;z-index:251662336;mso-width-relative:page;mso-height-relative:page;" filled="f" stroked="t" coordsize="21600,21600" o:gfxdata="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G0JZ2wAAAAsBAAAPAAAAAAAAAAEAIAAAACIAAABkcnMvZG93bnJldi54bWxQSwEC&#10;FAAUAAAACACHTuJA9jqkXSoCAABvBAAADgAAAAAAAAABACAAAAAqAQAAZHJzL2Uyb0RvYy54bWxQ&#10;SwUGAAAAAAYABgBZAQAAxgUAAAAA&#10;" adj="28590,91781">
                <v:fill on="f" focussize="0,0"/>
                <v:stroke color="#000000" joinstyle="miter"/>
                <v:imagedata o:title=""/>
                <o:lock v:ext="edit" aspectratio="f"/>
                <v:textbox>
                  <w:txbxContent>
                    <w:p>
                      <w:pPr>
                        <w:rPr>
                          <w:b/>
                          <w:bCs/>
                          <w:color w:val="FF0000"/>
                        </w:rPr>
                      </w:pPr>
                      <w:r>
                        <w:rPr>
                          <w:rFonts w:hint="eastAsia"/>
                          <w:b/>
                          <w:bCs/>
                          <w:color w:val="FF0000"/>
                        </w:rPr>
                        <w:t>项目所在地</w:t>
                      </w:r>
                    </w:p>
                  </w:txbxContent>
                </v:textbox>
              </v:shape>
            </w:pict>
          </mc:Fallback>
        </mc:AlternateContent>
      </w:r>
      <w:r>
        <w:rPr>
          <w:rFonts w:hint="default" w:ascii="Times New Roman" w:hAnsi="Times New Roman" w:eastAsia="宋体" w:cs="Times New Roman"/>
          <w:kern w:val="0"/>
        </w:rPr>
        <mc:AlternateContent>
          <mc:Choice Requires="wps">
            <w:drawing>
              <wp:anchor distT="0" distB="0" distL="114300" distR="114300" simplePos="0" relativeHeight="251661312" behindDoc="0" locked="0" layoutInCell="1" allowOverlap="1">
                <wp:simplePos x="0" y="0"/>
                <wp:positionH relativeFrom="margin">
                  <wp:posOffset>2950210</wp:posOffset>
                </wp:positionH>
                <wp:positionV relativeFrom="paragraph">
                  <wp:posOffset>4411980</wp:posOffset>
                </wp:positionV>
                <wp:extent cx="153670" cy="177800"/>
                <wp:effectExtent l="1905" t="0" r="15875" b="12700"/>
                <wp:wrapNone/>
                <wp:docPr id="233" name="AutoShape 2"/>
                <wp:cNvGraphicFramePr/>
                <a:graphic xmlns:a="http://schemas.openxmlformats.org/drawingml/2006/main">
                  <a:graphicData uri="http://schemas.microsoft.com/office/word/2010/wordprocessingShape">
                    <wps:wsp>
                      <wps:cNvSpPr>
                        <a:spLocks noChangeArrowheads="1"/>
                      </wps:cNvSpPr>
                      <wps:spPr bwMode="auto">
                        <a:xfrm>
                          <a:off x="0" y="0"/>
                          <a:ext cx="153670" cy="177800"/>
                        </a:xfrm>
                        <a:prstGeom prst="star5">
                          <a:avLst>
                            <a:gd name="adj" fmla="val 0"/>
                            <a:gd name="hf" fmla="val 105146"/>
                            <a:gd name="vf" fmla="val 110557"/>
                          </a:avLst>
                        </a:prstGeom>
                        <a:noFill/>
                        <a:ln w="9525">
                          <a:solidFill>
                            <a:srgbClr val="00B0F0"/>
                          </a:solidFill>
                          <a:miter lim="800000"/>
                        </a:ln>
                        <a:effectLst/>
                      </wps:spPr>
                      <wps:bodyPr rot="0" vert="horz" wrap="square" lIns="91440" tIns="45720" rIns="91440" bIns="45720" anchor="t" anchorCtr="0" upright="1">
                        <a:noAutofit/>
                      </wps:bodyPr>
                    </wps:wsp>
                  </a:graphicData>
                </a:graphic>
              </wp:anchor>
            </w:drawing>
          </mc:Choice>
          <mc:Fallback>
            <w:pict>
              <v:shape id="AutoShape 2" o:spid="_x0000_s1026" style="position:absolute;left:0pt;margin-left:232.3pt;margin-top:347.4pt;height:14pt;width:12.1pt;mso-position-horizontal-relative:margin;z-index:251661312;mso-width-relative:page;mso-height-relative:page;" filled="f" stroked="t" coordsize="153670,177800" o:gfxdata="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yO69baAAAA&#10;CwEAAA8AAAAAAAAAAQAgAAAAIgAAAGRycy9kb3ducmV2LnhtbFBLAQIUABQAAAAIAIdO4kDG+uE/&#10;VAIAAMcEAAAOAAAAAAAAAAEAIAAAACkBAABkcnMvZTJvRG9jLnhtbFBLBQYAAAAABgAGAFkBAADv&#10;BQAAAAA=&#10;" path="m0,67913l76835,98285,76835,0,76835,98285,153669,67913,76835,98285,124321,177799,76835,98285,29348,177799,76835,98285xe">
                <v:path o:connectlocs="76835,0;0,67913;29348,177799;124321,177799;153669,67913" o:connectangles="247,164,82,82,0"/>
                <v:fill on="f" focussize="0,0"/>
                <v:stroke color="#00B0F0" miterlimit="8" joinstyle="miter"/>
                <v:imagedata o:title=""/>
                <o:lock v:ext="edit" aspectratio="f"/>
              </v:shape>
            </w:pict>
          </mc:Fallback>
        </mc:AlternateContent>
      </w:r>
      <w:r>
        <w:rPr>
          <w:rFonts w:hint="default" w:ascii="Times New Roman" w:hAnsi="Times New Roman" w:eastAsia="宋体" w:cs="Times New Roman"/>
          <w:kern w:val="0"/>
        </w:rPr>
        <w:drawing>
          <wp:anchor distT="0" distB="0" distL="114300" distR="114300" simplePos="0" relativeHeight="251664384" behindDoc="0" locked="0" layoutInCell="1" allowOverlap="1">
            <wp:simplePos x="0" y="0"/>
            <wp:positionH relativeFrom="column">
              <wp:posOffset>4304665</wp:posOffset>
            </wp:positionH>
            <wp:positionV relativeFrom="paragraph">
              <wp:posOffset>136525</wp:posOffset>
            </wp:positionV>
            <wp:extent cx="942975" cy="852805"/>
            <wp:effectExtent l="0" t="0" r="9525" b="4445"/>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1"/>
                    <a:stretch>
                      <a:fillRect/>
                    </a:stretch>
                  </pic:blipFill>
                  <pic:spPr>
                    <a:xfrm>
                      <a:off x="0" y="0"/>
                      <a:ext cx="942975" cy="852805"/>
                    </a:xfrm>
                    <a:prstGeom prst="rect">
                      <a:avLst/>
                    </a:prstGeom>
                    <a:noFill/>
                    <a:ln>
                      <a:noFill/>
                    </a:ln>
                  </pic:spPr>
                </pic:pic>
              </a:graphicData>
            </a:graphic>
          </wp:anchor>
        </w:drawing>
      </w:r>
      <w:r>
        <w:rPr>
          <w:rFonts w:hint="default" w:ascii="Times New Roman" w:hAnsi="Times New Roman" w:eastAsia="宋体" w:cs="Times New Roman"/>
          <w:kern w:val="0"/>
        </w:rPr>
        <w:drawing>
          <wp:inline distT="0" distB="0" distL="114300" distR="114300">
            <wp:extent cx="5275580" cy="7461250"/>
            <wp:effectExtent l="19050" t="19050" r="20320" b="25400"/>
            <wp:docPr id="100" name="图片 119" descr="C:\Users\goned\Desktop\Drawing1-布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9" descr="C:\Users\goned\Desktop\Drawing1-布局1.png"/>
                    <pic:cNvPicPr>
                      <a:picLocks noChangeAspect="1"/>
                    </pic:cNvPicPr>
                  </pic:nvPicPr>
                  <pic:blipFill>
                    <a:blip r:embed="rId32"/>
                    <a:stretch>
                      <a:fillRect/>
                    </a:stretch>
                  </pic:blipFill>
                  <pic:spPr>
                    <a:xfrm>
                      <a:off x="0" y="0"/>
                      <a:ext cx="5275580" cy="7461250"/>
                    </a:xfrm>
                    <a:prstGeom prst="rect">
                      <a:avLst/>
                    </a:prstGeom>
                    <a:noFill/>
                    <a:ln w="19050" cap="flat" cmpd="sng">
                      <a:solidFill>
                        <a:srgbClr val="000000"/>
                      </a:solidFill>
                      <a:prstDash val="solid"/>
                      <a:miter/>
                      <a:headEnd type="none" w="med" len="med"/>
                      <a:tailEnd type="none" w="med" len="med"/>
                    </a:ln>
                  </pic:spPr>
                </pic:pic>
              </a:graphicData>
            </a:graphic>
          </wp:inline>
        </w:drawing>
      </w:r>
    </w:p>
    <w:p>
      <w:pPr>
        <w:pStyle w:val="2"/>
        <w:ind w:firstLine="480"/>
        <w:rPr>
          <w:rFonts w:hint="default" w:ascii="Times New Roman" w:hAnsi="Times New Roman" w:eastAsia="宋体" w:cs="Times New Roman"/>
          <w:kern w:val="0"/>
        </w:rPr>
      </w:pPr>
    </w:p>
    <w:p>
      <w:pPr>
        <w:pStyle w:val="2"/>
        <w:ind w:firstLine="480"/>
        <w:rPr>
          <w:rFonts w:hint="default" w:ascii="Times New Roman" w:hAnsi="Times New Roman" w:eastAsia="宋体" w:cs="Times New Roman"/>
          <w:kern w:val="0"/>
        </w:rPr>
        <w:sectPr>
          <w:footerReference r:id="rId6" w:type="default"/>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pPr>
    </w:p>
    <w:p>
      <w:pPr>
        <w:rPr>
          <w:rFonts w:hint="default" w:ascii="Times New Roman" w:hAnsi="Times New Roman" w:eastAsia="宋体" w:cs="Times New Roman"/>
          <w:b/>
          <w:bCs/>
          <w:kern w:val="0"/>
          <w:sz w:val="24"/>
          <w:szCs w:val="32"/>
          <w:lang w:val="en-US" w:eastAsia="zh-CN"/>
        </w:rPr>
      </w:pPr>
      <w:r>
        <w:rPr>
          <w:rFonts w:hint="default" w:ascii="Times New Roman" w:hAnsi="Times New Roman" w:eastAsia="宋体" w:cs="Times New Roman"/>
          <w:b/>
          <w:bCs/>
          <w:kern w:val="0"/>
          <w:sz w:val="24"/>
          <w:szCs w:val="32"/>
          <w:lang w:eastAsia="zh-CN"/>
        </w:rPr>
        <w:t>附件</w:t>
      </w:r>
      <w:r>
        <w:rPr>
          <w:rFonts w:hint="default" w:ascii="Times New Roman" w:hAnsi="Times New Roman" w:eastAsia="宋体" w:cs="Times New Roman"/>
          <w:b/>
          <w:bCs/>
          <w:kern w:val="0"/>
          <w:sz w:val="24"/>
          <w:szCs w:val="32"/>
          <w:lang w:val="en-US" w:eastAsia="zh-CN"/>
        </w:rPr>
        <w:t>7淄博市环境管控单元图</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kern w:val="0"/>
        </w:rPr>
      </w:pPr>
      <w:r>
        <w:rPr>
          <w:rFonts w:hint="default" w:ascii="Times New Roman" w:hAnsi="Times New Roman" w:eastAsia="宋体" w:cs="Times New Roman"/>
          <w:kern w:val="0"/>
        </w:rPr>
        <mc:AlternateContent>
          <mc:Choice Requires="wps">
            <w:drawing>
              <wp:anchor distT="0" distB="0" distL="114300" distR="114300" simplePos="0" relativeHeight="251666432" behindDoc="0" locked="0" layoutInCell="1" allowOverlap="1">
                <wp:simplePos x="0" y="0"/>
                <wp:positionH relativeFrom="margin">
                  <wp:posOffset>1501140</wp:posOffset>
                </wp:positionH>
                <wp:positionV relativeFrom="paragraph">
                  <wp:posOffset>3082290</wp:posOffset>
                </wp:positionV>
                <wp:extent cx="914400" cy="356870"/>
                <wp:effectExtent l="4445" t="4445" r="14605" b="362585"/>
                <wp:wrapNone/>
                <wp:docPr id="3" name="AutoShape 3"/>
                <wp:cNvGraphicFramePr/>
                <a:graphic xmlns:a="http://schemas.openxmlformats.org/drawingml/2006/main">
                  <a:graphicData uri="http://schemas.microsoft.com/office/word/2010/wordprocessingShape">
                    <wps:wsp>
                      <wps:cNvSpPr/>
                      <wps:spPr>
                        <a:xfrm>
                          <a:off x="0" y="0"/>
                          <a:ext cx="914400" cy="356870"/>
                        </a:xfrm>
                        <a:prstGeom prst="wedgeRectCallout">
                          <a:avLst>
                            <a:gd name="adj1" fmla="val 31319"/>
                            <a:gd name="adj2" fmla="val 142704"/>
                          </a:avLst>
                        </a:prstGeom>
                        <a:noFill/>
                        <a:ln w="9525" cap="flat" cmpd="sng">
                          <a:solidFill>
                            <a:srgbClr val="000000"/>
                          </a:solidFill>
                          <a:prstDash val="solid"/>
                          <a:miter/>
                          <a:headEnd type="none" w="med" len="med"/>
                          <a:tailEnd type="none" w="med" len="med"/>
                        </a:ln>
                      </wps:spPr>
                      <wps:txbx>
                        <w:txbxContent>
                          <w:p>
                            <w:pPr>
                              <w:rPr>
                                <w:b/>
                                <w:bCs/>
                                <w:color w:val="FF0000"/>
                              </w:rPr>
                            </w:pPr>
                            <w:r>
                              <w:rPr>
                                <w:rFonts w:hint="eastAsia"/>
                                <w:b/>
                                <w:bCs/>
                                <w:color w:val="FF0000"/>
                              </w:rPr>
                              <w:t>项目所在地</w:t>
                            </w:r>
                          </w:p>
                        </w:txbxContent>
                      </wps:txbx>
                      <wps:bodyPr wrap="square" upright="1"/>
                    </wps:wsp>
                  </a:graphicData>
                </a:graphic>
              </wp:anchor>
            </w:drawing>
          </mc:Choice>
          <mc:Fallback>
            <w:pict>
              <v:shape id="AutoShape 3" o:spid="_x0000_s1026" o:spt="61" type="#_x0000_t61" style="position:absolute;left:0pt;margin-left:118.2pt;margin-top:242.7pt;height:28.1pt;width:72pt;mso-position-horizontal-relative:margin;z-index:251666432;mso-width-relative:page;mso-height-relative:page;" filled="f" stroked="t" coordsize="21600,21600" o:gfxdata="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g5LKNwAAAALAQAADwAAAAAAAAABACAAAAAiAAAAZHJzL2Rvd25yZXYueG1sUEsBAhQA&#10;FAAAAAgAh07iQKtuTzknAgAAbgQAAA4AAAAAAAAAAQAgAAAAKwEAAGRycy9lMm9Eb2MueG1sUEsF&#10;BgAAAAAGAAYAWQEAAMQFAAAAAA==&#10;" adj="17565,41624">
                <v:fill on="f" focussize="0,0"/>
                <v:stroke color="#000000" joinstyle="miter"/>
                <v:imagedata o:title=""/>
                <o:lock v:ext="edit" aspectratio="f"/>
                <v:textbox>
                  <w:txbxContent>
                    <w:p>
                      <w:pPr>
                        <w:rPr>
                          <w:b/>
                          <w:bCs/>
                          <w:color w:val="FF0000"/>
                        </w:rPr>
                      </w:pPr>
                      <w:r>
                        <w:rPr>
                          <w:rFonts w:hint="eastAsia"/>
                          <w:b/>
                          <w:bCs/>
                          <w:color w:val="FF0000"/>
                        </w:rPr>
                        <w:t>项目所在地</w:t>
                      </w:r>
                    </w:p>
                  </w:txbxContent>
                </v:textbox>
              </v:shape>
            </w:pict>
          </mc:Fallback>
        </mc:AlternateContent>
      </w:r>
      <w:r>
        <w:rPr>
          <w:rFonts w:hint="default" w:ascii="Times New Roman" w:hAnsi="Times New Roman" w:eastAsia="宋体" w:cs="Times New Roman"/>
          <w:kern w:val="0"/>
        </w:rPr>
        <mc:AlternateContent>
          <mc:Choice Requires="wps">
            <w:drawing>
              <wp:anchor distT="0" distB="0" distL="114300" distR="114300" simplePos="0" relativeHeight="251665408" behindDoc="0" locked="0" layoutInCell="1" allowOverlap="1">
                <wp:simplePos x="0" y="0"/>
                <wp:positionH relativeFrom="margin">
                  <wp:posOffset>2169160</wp:posOffset>
                </wp:positionH>
                <wp:positionV relativeFrom="paragraph">
                  <wp:posOffset>3678555</wp:posOffset>
                </wp:positionV>
                <wp:extent cx="153670" cy="177800"/>
                <wp:effectExtent l="1905" t="0" r="15875" b="12700"/>
                <wp:wrapNone/>
                <wp:docPr id="4" name="AutoShape 2"/>
                <wp:cNvGraphicFramePr/>
                <a:graphic xmlns:a="http://schemas.openxmlformats.org/drawingml/2006/main">
                  <a:graphicData uri="http://schemas.microsoft.com/office/word/2010/wordprocessingShape">
                    <wps:wsp>
                      <wps:cNvSpPr>
                        <a:spLocks noChangeArrowheads="1"/>
                      </wps:cNvSpPr>
                      <wps:spPr bwMode="auto">
                        <a:xfrm>
                          <a:off x="0" y="0"/>
                          <a:ext cx="153670" cy="177800"/>
                        </a:xfrm>
                        <a:prstGeom prst="star5">
                          <a:avLst>
                            <a:gd name="adj" fmla="val 0"/>
                            <a:gd name="hf" fmla="val 105146"/>
                            <a:gd name="vf" fmla="val 110557"/>
                          </a:avLst>
                        </a:prstGeom>
                        <a:noFill/>
                        <a:ln w="9525">
                          <a:solidFill>
                            <a:srgbClr val="00B0F0"/>
                          </a:solidFill>
                          <a:miter lim="800000"/>
                        </a:ln>
                        <a:effectLst/>
                      </wps:spPr>
                      <wps:bodyPr rot="0" vert="horz" wrap="square" lIns="91440" tIns="45720" rIns="91440" bIns="45720" anchor="t" anchorCtr="0" upright="1">
                        <a:noAutofit/>
                      </wps:bodyPr>
                    </wps:wsp>
                  </a:graphicData>
                </a:graphic>
              </wp:anchor>
            </w:drawing>
          </mc:Choice>
          <mc:Fallback>
            <w:pict>
              <v:shape id="AutoShape 2" o:spid="_x0000_s1026" style="position:absolute;left:0pt;margin-left:170.8pt;margin-top:289.65pt;height:14pt;width:12.1pt;mso-position-horizontal-relative:margin;z-index:251665408;mso-width-relative:page;mso-height-relative:page;" filled="f" stroked="t" coordsize="153670,177800" o:gfxdata="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ZgXedsAAAAL&#10;AQAADwAAAAAAAAABACAAAAAiAAAAZHJzL2Rvd25yZXYueG1sUEsBAhQAFAAAAAgAh07iQAgwlAlS&#10;AgAAxQQAAA4AAAAAAAAAAQAgAAAAKgEAAGRycy9lMm9Eb2MueG1sUEsFBgAAAAAGAAYAWQEAAO4F&#10;AAAAAA==&#10;" path="m0,67913l76835,98285,76835,0,76835,98285,153669,67913,76835,98285,124321,177799,76835,98285,29348,177799,76835,98285xe">
                <v:path o:connectlocs="76835,0;0,67913;29348,177799;124321,177799;153669,67913" o:connectangles="247,164,82,82,0"/>
                <v:fill on="f" focussize="0,0"/>
                <v:stroke color="#00B0F0" miterlimit="8" joinstyle="miter"/>
                <v:imagedata o:title=""/>
                <o:lock v:ext="edit" aspectratio="f"/>
              </v:shape>
            </w:pict>
          </mc:Fallback>
        </mc:AlternateContent>
      </w:r>
      <w:r>
        <w:rPr>
          <w:rFonts w:hint="default" w:ascii="Times New Roman" w:hAnsi="Times New Roman" w:eastAsia="宋体" w:cs="Times New Roman"/>
          <w:kern w:val="0"/>
        </w:rPr>
        <w:drawing>
          <wp:inline distT="0" distB="0" distL="114300" distR="114300">
            <wp:extent cx="5087620" cy="7559675"/>
            <wp:effectExtent l="0" t="0" r="17780" b="3175"/>
            <wp:docPr id="1" name="图片 1" descr="《淄博市“三线一单”生态环境准入清单》（淄环委办〔2021〕24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淄博市“三线一单”生态环境准入清单》（淄环委办〔2021〕24号）_00"/>
                    <pic:cNvPicPr>
                      <a:picLocks noChangeAspect="1"/>
                    </pic:cNvPicPr>
                  </pic:nvPicPr>
                  <pic:blipFill>
                    <a:blip r:embed="rId33"/>
                    <a:srcRect l="17488" t="15192" r="16104" b="14993"/>
                    <a:stretch>
                      <a:fillRect/>
                    </a:stretch>
                  </pic:blipFill>
                  <pic:spPr>
                    <a:xfrm>
                      <a:off x="0" y="0"/>
                      <a:ext cx="5087620" cy="7559675"/>
                    </a:xfrm>
                    <a:prstGeom prst="rect">
                      <a:avLst/>
                    </a:prstGeom>
                  </pic:spPr>
                </pic:pic>
              </a:graphicData>
            </a:graphic>
          </wp:inline>
        </w:drawing>
      </w:r>
    </w:p>
    <w:p/>
    <w:sectPr>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1"/>
      </w:rPr>
    </w:pPr>
    <w:r>
      <w:fldChar w:fldCharType="begin"/>
    </w:r>
    <w:r>
      <w:rPr>
        <w:rStyle w:val="21"/>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cMPeMIBAACP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iiJo5bHPnl+7fLj1+Xn1/J&#10;6yxQH6DGvIeAmWm48wMmz35AZ+Y9qGjzFxkRjCPU+SqvHBIR+dF6tV5XGBIYmy+Izx6fhwjprfSW&#10;ZKOhEedXZOWn95DG1DklV3P+XhtTZmjcXw7EzB6Wex97zFYa9sNEaO/bM/LpcfQNdbjplJh3DpXF&#10;/tJsxNnYT0auAeH2mLBw6SejjlBTMZxTYTTtVF6EP+8l6/E/2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3DD3jCAQAAjwMAAA4AAAAAAAAAAQAgAAAAHgEAAGRycy9lMm9Eb2MueG1sUEsF&#10;BgAAAAAGAAYAWQEAAFIFA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G8X1MIBAACP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guKXHc4sgv379dfvy6/PxK&#10;XmeB+gA15j0EzEzDnR8wefYDOjPvQUWbv8iIYBzlPV/llUMiIj9ar9brCkMCY/MF8dnj8xAhvZXe&#10;kmw0NOL8iqz89B7SmDqn5GrO32tjygyN+8uBmNnDcu9jj9lKw36YCO19e0Y+PY6+oQ43nRLzzqGy&#10;eUtmI87GfjJyDQi3x4SFSz8ZdYSaiuGcCqNpp/Ii/HkvWY//0f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RvF9TCAQAAjwMAAA4AAAAAAAAAAQAgAAAAHgEAAGRycy9lMm9Eb2MueG1sUEsF&#10;BgAAAAAGAAYAWQEAAFIFA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5F591"/>
    <w:multiLevelType w:val="singleLevel"/>
    <w:tmpl w:val="97C5F591"/>
    <w:lvl w:ilvl="0" w:tentative="0">
      <w:start w:val="1"/>
      <w:numFmt w:val="chineseCounting"/>
      <w:suff w:val="nothing"/>
      <w:lvlText w:val="%1、"/>
      <w:lvlJc w:val="left"/>
      <w:rPr>
        <w:rFonts w:hint="eastAsia"/>
      </w:rPr>
    </w:lvl>
  </w:abstractNum>
  <w:abstractNum w:abstractNumId="1">
    <w:nsid w:val="A4D47BB4"/>
    <w:multiLevelType w:val="singleLevel"/>
    <w:tmpl w:val="A4D47BB4"/>
    <w:lvl w:ilvl="0" w:tentative="0">
      <w:start w:val="1"/>
      <w:numFmt w:val="chineseCounting"/>
      <w:suff w:val="nothing"/>
      <w:lvlText w:val="%1、"/>
      <w:lvlJc w:val="left"/>
      <w:rPr>
        <w:rFonts w:hint="eastAsia"/>
      </w:rPr>
    </w:lvl>
  </w:abstractNum>
  <w:abstractNum w:abstractNumId="2">
    <w:nsid w:val="D8BA75F5"/>
    <w:multiLevelType w:val="singleLevel"/>
    <w:tmpl w:val="D8BA75F5"/>
    <w:lvl w:ilvl="0" w:tentative="0">
      <w:start w:val="1"/>
      <w:numFmt w:val="decimal"/>
      <w:suff w:val="nothing"/>
      <w:lvlText w:val="%1、"/>
      <w:lvlJc w:val="left"/>
    </w:lvl>
  </w:abstractNum>
  <w:abstractNum w:abstractNumId="3">
    <w:nsid w:val="EE6F6F82"/>
    <w:multiLevelType w:val="singleLevel"/>
    <w:tmpl w:val="EE6F6F82"/>
    <w:lvl w:ilvl="0" w:tentative="0">
      <w:start w:val="9"/>
      <w:numFmt w:val="decimal"/>
      <w:suff w:val="nothing"/>
      <w:lvlText w:val="%1、"/>
      <w:lvlJc w:val="left"/>
    </w:lvl>
  </w:abstractNum>
  <w:abstractNum w:abstractNumId="4">
    <w:nsid w:val="05BA3ADB"/>
    <w:multiLevelType w:val="singleLevel"/>
    <w:tmpl w:val="05BA3ADB"/>
    <w:lvl w:ilvl="0" w:tentative="0">
      <w:start w:val="1"/>
      <w:numFmt w:val="decimal"/>
      <w:suff w:val="nothing"/>
      <w:lvlText w:val="%1、"/>
      <w:lvlJc w:val="left"/>
    </w:lvl>
  </w:abstractNum>
  <w:abstractNum w:abstractNumId="5">
    <w:nsid w:val="0E901DB4"/>
    <w:multiLevelType w:val="singleLevel"/>
    <w:tmpl w:val="0E901DB4"/>
    <w:lvl w:ilvl="0" w:tentative="0">
      <w:start w:val="5"/>
      <w:numFmt w:val="decimal"/>
      <w:suff w:val="nothing"/>
      <w:lvlText w:val="%1、"/>
      <w:lvlJc w:val="left"/>
    </w:lvl>
  </w:abstractNum>
  <w:abstractNum w:abstractNumId="6">
    <w:nsid w:val="51893E85"/>
    <w:multiLevelType w:val="singleLevel"/>
    <w:tmpl w:val="51893E85"/>
    <w:lvl w:ilvl="0" w:tentative="0">
      <w:start w:val="1"/>
      <w:numFmt w:val="decimal"/>
      <w:suff w:val="nothing"/>
      <w:lvlText w:val="%1、"/>
      <w:lvlJc w:val="left"/>
    </w:lvl>
  </w:abstractNum>
  <w:abstractNum w:abstractNumId="7">
    <w:nsid w:val="7A8CAB84"/>
    <w:multiLevelType w:val="singleLevel"/>
    <w:tmpl w:val="7A8CAB84"/>
    <w:lvl w:ilvl="0" w:tentative="0">
      <w:start w:val="9"/>
      <w:numFmt w:val="decimal"/>
      <w:suff w:val="nothing"/>
      <w:lvlText w:val="%1、"/>
      <w:lvlJc w:val="left"/>
    </w:lvl>
  </w:abstractNum>
  <w:num w:numId="1">
    <w:abstractNumId w:val="5"/>
  </w:num>
  <w:num w:numId="2">
    <w:abstractNumId w:val="6"/>
  </w:num>
  <w:num w:numId="3">
    <w:abstractNumId w:val="3"/>
  </w:num>
  <w:num w:numId="4">
    <w:abstractNumId w:val="0"/>
  </w:num>
  <w:num w:numId="5">
    <w:abstractNumId w:val="4"/>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4YjRlMDM0OTk4OTZhMGNjOWUwOTNhOTViMTU0MjUifQ=="/>
  </w:docVars>
  <w:rsids>
    <w:rsidRoot w:val="6C943663"/>
    <w:rsid w:val="07C22B6F"/>
    <w:rsid w:val="0BBC023E"/>
    <w:rsid w:val="1457163D"/>
    <w:rsid w:val="16492F37"/>
    <w:rsid w:val="191600A3"/>
    <w:rsid w:val="1A896076"/>
    <w:rsid w:val="1ED57D2E"/>
    <w:rsid w:val="238732E8"/>
    <w:rsid w:val="27C070A1"/>
    <w:rsid w:val="2B2D0EF2"/>
    <w:rsid w:val="2F0749C5"/>
    <w:rsid w:val="32322B73"/>
    <w:rsid w:val="34A86B2E"/>
    <w:rsid w:val="35B3495D"/>
    <w:rsid w:val="39030A9D"/>
    <w:rsid w:val="47F22E4F"/>
    <w:rsid w:val="5AEC7CCD"/>
    <w:rsid w:val="5DDB0B36"/>
    <w:rsid w:val="60B46A9C"/>
    <w:rsid w:val="69961C98"/>
    <w:rsid w:val="69B65E74"/>
    <w:rsid w:val="6C943663"/>
    <w:rsid w:val="71ED5DAC"/>
    <w:rsid w:val="76C721F0"/>
    <w:rsid w:val="799D0DE1"/>
    <w:rsid w:val="7B51165F"/>
    <w:rsid w:val="7DC71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0">
    <w:name w:val="Default Paragraph Font"/>
    <w:semiHidden/>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0"/>
    <w:pPr>
      <w:ind w:firstLine="420" w:firstLineChars="200"/>
    </w:pPr>
  </w:style>
  <w:style w:type="paragraph" w:styleId="3">
    <w:name w:val="Body Text Indent"/>
    <w:basedOn w:val="1"/>
    <w:next w:val="4"/>
    <w:qFormat/>
    <w:uiPriority w:val="0"/>
    <w:pPr>
      <w:spacing w:after="120"/>
      <w:ind w:left="420" w:leftChars="200"/>
    </w:pPr>
    <w:rPr>
      <w:kern w:val="0"/>
      <w:sz w:val="24"/>
      <w:szCs w:val="20"/>
    </w:rPr>
  </w:style>
  <w:style w:type="paragraph" w:customStyle="1" w:styleId="4">
    <w:name w:val="样式 正文文本缩进 + 行距: 1.5 倍行距"/>
    <w:basedOn w:val="5"/>
    <w:next w:val="6"/>
    <w:qFormat/>
    <w:uiPriority w:val="0"/>
    <w:pPr>
      <w:spacing w:line="360" w:lineRule="auto"/>
      <w:ind w:left="90" w:leftChars="32" w:firstLine="560" w:firstLineChars="200"/>
    </w:pPr>
    <w:rPr>
      <w:rFonts w:cs="宋体"/>
    </w:rPr>
  </w:style>
  <w:style w:type="paragraph" w:customStyle="1" w:styleId="5">
    <w:name w:val="正文文本缩进1"/>
    <w:basedOn w:val="1"/>
    <w:next w:val="4"/>
    <w:qFormat/>
    <w:uiPriority w:val="0"/>
    <w:pPr>
      <w:ind w:left="420" w:leftChars="200"/>
    </w:pPr>
    <w:rPr>
      <w:rFonts w:ascii="Times New Roman" w:hAnsi="Times New Roman" w:eastAsia="宋体"/>
      <w:sz w:val="24"/>
    </w:rPr>
  </w:style>
  <w:style w:type="paragraph" w:styleId="6">
    <w:name w:val="header"/>
    <w:basedOn w:val="1"/>
    <w:next w:val="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7">
    <w:name w:val="样式5"/>
    <w:basedOn w:val="8"/>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8">
    <w:name w:val="正文1"/>
    <w:basedOn w:val="1"/>
    <w:next w:val="1"/>
    <w:qFormat/>
    <w:uiPriority w:val="0"/>
    <w:pPr>
      <w:adjustRightInd w:val="0"/>
      <w:snapToGrid w:val="0"/>
      <w:spacing w:line="500" w:lineRule="atLeast"/>
      <w:ind w:firstLine="567"/>
    </w:pPr>
    <w:rPr>
      <w:sz w:val="28"/>
    </w:rPr>
  </w:style>
  <w:style w:type="paragraph" w:styleId="9">
    <w:name w:val="table of authorities"/>
    <w:basedOn w:val="1"/>
    <w:next w:val="1"/>
    <w:qFormat/>
    <w:uiPriority w:val="0"/>
    <w:pPr>
      <w:ind w:left="420" w:leftChars="200"/>
    </w:pPr>
  </w:style>
  <w:style w:type="paragraph" w:styleId="10">
    <w:name w:val="Normal Indent"/>
    <w:basedOn w:val="1"/>
    <w:next w:val="9"/>
    <w:qFormat/>
    <w:uiPriority w:val="0"/>
    <w:pPr>
      <w:tabs>
        <w:tab w:val="center" w:pos="4153"/>
        <w:tab w:val="right" w:pos="8306"/>
      </w:tabs>
      <w:adjustRightInd w:val="0"/>
      <w:spacing w:line="312" w:lineRule="atLeast"/>
      <w:ind w:firstLine="420"/>
      <w:textAlignment w:val="baseline"/>
    </w:pPr>
    <w:rPr>
      <w:kern w:val="0"/>
      <w:szCs w:val="20"/>
    </w:rPr>
  </w:style>
  <w:style w:type="paragraph" w:styleId="11">
    <w:name w:val="annotation text"/>
    <w:basedOn w:val="1"/>
    <w:semiHidden/>
    <w:qFormat/>
    <w:uiPriority w:val="0"/>
    <w:pPr>
      <w:jc w:val="left"/>
    </w:pPr>
    <w:rPr>
      <w:kern w:val="0"/>
      <w:sz w:val="24"/>
      <w:szCs w:val="20"/>
    </w:rPr>
  </w:style>
  <w:style w:type="paragraph" w:styleId="12">
    <w:name w:val="Body Text"/>
    <w:basedOn w:val="1"/>
    <w:next w:val="13"/>
    <w:qFormat/>
    <w:uiPriority w:val="0"/>
    <w:pPr>
      <w:widowControl/>
      <w:snapToGrid w:val="0"/>
      <w:spacing w:before="60" w:after="160" w:line="259" w:lineRule="auto"/>
      <w:ind w:right="113"/>
    </w:pPr>
    <w:rPr>
      <w:kern w:val="0"/>
      <w:sz w:val="18"/>
      <w:szCs w:val="20"/>
    </w:rPr>
  </w:style>
  <w:style w:type="paragraph" w:customStyle="1" w:styleId="13">
    <w:name w:val="Date1"/>
    <w:basedOn w:val="1"/>
    <w:next w:val="1"/>
    <w:qFormat/>
    <w:uiPriority w:val="0"/>
    <w:rPr>
      <w:szCs w:val="20"/>
    </w:rPr>
  </w:style>
  <w:style w:type="paragraph" w:styleId="14">
    <w:name w:val="Plain Text"/>
    <w:basedOn w:val="1"/>
    <w:unhideWhenUsed/>
    <w:qFormat/>
    <w:uiPriority w:val="99"/>
    <w:pPr>
      <w:widowControl/>
      <w:spacing w:line="425" w:lineRule="atLeast"/>
      <w:textAlignment w:val="baseline"/>
    </w:pPr>
    <w:rPr>
      <w:rFonts w:ascii="宋体" w:hAnsi="Courier New" w:cs="Courier New"/>
      <w:color w:val="000000"/>
      <w:kern w:val="0"/>
      <w:szCs w:val="21"/>
      <w:u w:color="000000"/>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Body Text Indent 3"/>
    <w:basedOn w:val="1"/>
    <w:qFormat/>
    <w:uiPriority w:val="0"/>
    <w:pPr>
      <w:spacing w:after="120" w:afterLines="0" w:afterAutospacing="0"/>
      <w:ind w:left="420" w:leftChars="200"/>
    </w:pPr>
    <w:rPr>
      <w:sz w:val="16"/>
    </w:r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annotation reference"/>
    <w:basedOn w:val="20"/>
    <w:qFormat/>
    <w:uiPriority w:val="0"/>
    <w:rPr>
      <w:sz w:val="21"/>
      <w:szCs w:val="21"/>
    </w:rPr>
  </w:style>
  <w:style w:type="paragraph" w:customStyle="1" w:styleId="23">
    <w:name w:val="Body Text Indent"/>
    <w:basedOn w:val="1"/>
    <w:next w:val="4"/>
    <w:qFormat/>
    <w:uiPriority w:val="0"/>
    <w:pPr>
      <w:spacing w:after="120" w:afterLines="0"/>
      <w:ind w:left="420" w:leftChars="200"/>
    </w:pPr>
    <w:rPr>
      <w:rFonts w:ascii="Times New Roman" w:hAnsi="Times New Roman" w:eastAsia="宋体"/>
      <w:sz w:val="24"/>
    </w:rPr>
  </w:style>
  <w:style w:type="paragraph" w:customStyle="1" w:styleId="24">
    <w:name w:val="Default"/>
    <w:basedOn w:val="25"/>
    <w:next w:val="1"/>
    <w:qFormat/>
    <w:uiPriority w:val="0"/>
    <w:pPr>
      <w:autoSpaceDE w:val="0"/>
      <w:autoSpaceDN w:val="0"/>
      <w:adjustRightInd w:val="0"/>
    </w:pPr>
    <w:rPr>
      <w:rFonts w:ascii="宋体" w:cs="宋体"/>
      <w:sz w:val="24"/>
    </w:rPr>
  </w:style>
  <w:style w:type="paragraph" w:customStyle="1" w:styleId="2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6">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7">
    <w:name w:val="表内文字"/>
    <w:basedOn w:val="28"/>
    <w:next w:val="1"/>
    <w:qFormat/>
    <w:uiPriority w:val="0"/>
    <w:rPr>
      <w:b w:val="0"/>
    </w:rPr>
  </w:style>
  <w:style w:type="paragraph" w:customStyle="1" w:styleId="28">
    <w:name w:val="表格标题"/>
    <w:basedOn w:val="1"/>
    <w:next w:val="1"/>
    <w:qFormat/>
    <w:uiPriority w:val="0"/>
    <w:pPr>
      <w:spacing w:before="60"/>
      <w:jc w:val="center"/>
    </w:pPr>
    <w:rPr>
      <w:b/>
    </w:rPr>
  </w:style>
  <w:style w:type="character" w:customStyle="1" w:styleId="29">
    <w:name w:val="样式 小四"/>
    <w:qFormat/>
    <w:uiPriority w:val="99"/>
    <w:rPr>
      <w:sz w:val="24"/>
    </w:rPr>
  </w:style>
  <w:style w:type="paragraph" w:customStyle="1" w:styleId="30">
    <w:name w:val="样式 小四 行距: 1.5 倍行距 首行缩进:  2 字符"/>
    <w:basedOn w:val="1"/>
    <w:qFormat/>
    <w:uiPriority w:val="99"/>
    <w:pPr>
      <w:spacing w:line="360" w:lineRule="auto"/>
      <w:ind w:firstLine="480" w:firstLineChars="200"/>
    </w:pPr>
    <w:rPr>
      <w:sz w:val="24"/>
    </w:rPr>
  </w:style>
  <w:style w:type="paragraph" w:customStyle="1" w:styleId="31">
    <w:name w:val="表格内容"/>
    <w:basedOn w:val="1"/>
    <w:qFormat/>
    <w:uiPriority w:val="0"/>
    <w:pPr>
      <w:adjustRightInd w:val="0"/>
      <w:snapToGrid w:val="0"/>
      <w:jc w:val="center"/>
    </w:pPr>
    <w:rPr>
      <w:szCs w:val="21"/>
    </w:rPr>
  </w:style>
  <w:style w:type="paragraph" w:customStyle="1" w:styleId="32">
    <w:name w:val="Table Paragraph"/>
    <w:basedOn w:val="1"/>
    <w:qFormat/>
    <w:uiPriority w:val="1"/>
  </w:style>
  <w:style w:type="paragraph" w:customStyle="1" w:styleId="33">
    <w:name w:val="格"/>
    <w:basedOn w:val="1"/>
    <w:qFormat/>
    <w:uiPriority w:val="0"/>
    <w:pPr>
      <w:widowControl/>
      <w:spacing w:line="240" w:lineRule="auto"/>
      <w:ind w:firstLine="0" w:firstLineChars="0"/>
      <w:jc w:val="center"/>
    </w:pPr>
    <w:rPr>
      <w:bCs/>
      <w:snapToGrid w:val="0"/>
      <w:kern w:val="0"/>
    </w:rPr>
  </w:style>
  <w:style w:type="paragraph" w:customStyle="1" w:styleId="34">
    <w:name w:val="表、图标题"/>
    <w:basedOn w:val="1"/>
    <w:qFormat/>
    <w:uiPriority w:val="0"/>
    <w:pPr>
      <w:topLinePunct/>
      <w:adjustRightInd w:val="0"/>
      <w:snapToGrid w:val="0"/>
      <w:spacing w:line="480" w:lineRule="exact"/>
      <w:jc w:val="center"/>
    </w:pPr>
    <w:rPr>
      <w:b/>
      <w:caps/>
      <w:kern w:val="16"/>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32237</Words>
  <Characters>37233</Characters>
  <Lines>0</Lines>
  <Paragraphs>0</Paragraphs>
  <TotalTime>9</TotalTime>
  <ScaleCrop>false</ScaleCrop>
  <LinksUpToDate>false</LinksUpToDate>
  <CharactersWithSpaces>37461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2021-12-06T00:26:00Z</dcterms:created>
  <dc:creator>旭日东升</dc:creator>
  <cp:lastModifiedBy>旭日东升</cp:lastModifiedBy>
  <cp:lastPrinted>2022-04-14T02:51:00Z</cp:lastPrinted>
  <dcterms:modified xsi:type="dcterms:W3CDTF">2023-03-06T06:53:28Z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FF42BFB757F04A06B90C74343D540C87</vt:lpwstr>
  </property>
  <property fmtid="{D5CDD505-2E9C-101B-9397-08002B2CF9AE}" pid="4" name="commondata">
    <vt:lpwstr>eyJoZGlkIjoiMGU4YjRlMDM0OTk4OTZhMGNjOWUwOTNhOTViMTU0MjUifQ==</vt:lpwstr>
  </property>
</Properties>
</file>