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淄博文昌湖省级旅游度假区管理委员会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ind w:firstLine="640" w:firstLineChars="2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本年度报告</w:t>
      </w:r>
      <w:r>
        <w:rPr>
          <w:rFonts w:hint="eastAsia" w:ascii="Times New Roman" w:hAnsi="Times New Roman" w:eastAsia="仿宋_GB2312" w:cs="Times New Roman"/>
          <w:sz w:val="32"/>
          <w:szCs w:val="32"/>
          <w:lang w:val="en-US" w:eastAsia="zh-CN"/>
        </w:rPr>
        <w:t>根据《中华人民共和国政府信息公开条例》和《国务院办公厅政府信息与政务公开办公室关于印发&lt;中华人民共和国政府信息公开工作年度报告格式&gt;的通知》（国办公开办函</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2021</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30号</w:t>
      </w:r>
      <w:r>
        <w:rPr>
          <w:rFonts w:hint="eastAsia" w:ascii="Times New Roman" w:hAnsi="Times New Roman" w:eastAsia="仿宋_GB2312" w:cs="Times New Roman"/>
          <w:sz w:val="32"/>
          <w:szCs w:val="32"/>
          <w:lang w:val="en-US" w:eastAsia="zh-CN"/>
        </w:rPr>
        <w:t>）相关要求编制。</w:t>
      </w:r>
      <w:r>
        <w:rPr>
          <w:rFonts w:hint="default" w:ascii="Times New Roman" w:hAnsi="Times New Roman" w:eastAsia="仿宋_GB2312" w:cs="Times New Roman"/>
          <w:sz w:val="32"/>
          <w:szCs w:val="32"/>
          <w:lang w:val="en-US" w:eastAsia="zh-CN"/>
        </w:rPr>
        <w:t>所列数据的统计期限自2022年1月1日起，至2022年12月31日止。如对报告内容有疑问，请与淄博文昌湖省级旅游度假区管理委员会</w:t>
      </w:r>
      <w:r>
        <w:rPr>
          <w:rFonts w:hint="eastAsia"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rPr>
        <w:t>地址：淄博市文昌湖区萌水镇防汛路1号219室；联系电话：6030011，邮箱：</w:t>
      </w:r>
      <w:r>
        <w:rPr>
          <w:rFonts w:hint="default" w:ascii="Times New Roman" w:hAnsi="Times New Roman" w:eastAsia="仿宋_GB2312" w:cs="Times New Roman"/>
          <w:color w:val="auto"/>
          <w:sz w:val="32"/>
          <w:szCs w:val="32"/>
          <w:u w:val="none"/>
        </w:rPr>
        <w:t>wenchanghuqudgwgwhbgs@zb.shandong.cn</w:t>
      </w:r>
      <w:r>
        <w:rPr>
          <w:rFonts w:hint="eastAsia" w:ascii="Times New Roman" w:hAnsi="Times New Roman" w:eastAsia="仿宋_GB2312" w:cs="Times New Roman"/>
          <w:color w:val="auto"/>
          <w:sz w:val="32"/>
          <w:szCs w:val="32"/>
          <w:u w:val="no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2"/>
          <w:szCs w:val="32"/>
          <w:shd w:val="clear" w:color="auto"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eastAsia" w:ascii="仿宋_GB2312" w:hAnsi="宋体" w:eastAsia="仿宋_GB2312" w:cs="仿宋_GB2312"/>
          <w:i w:val="0"/>
          <w:caps w:val="0"/>
          <w:color w:val="000000"/>
          <w:spacing w:val="0"/>
          <w:sz w:val="32"/>
          <w:szCs w:val="32"/>
          <w:lang w:eastAsia="zh-CN"/>
        </w:rPr>
      </w:pPr>
      <w:r>
        <w:rPr>
          <w:rFonts w:ascii="仿宋" w:hAnsi="仿宋" w:eastAsia="仿宋" w:cs="仿宋"/>
          <w:i w:val="0"/>
          <w:caps w:val="0"/>
          <w:color w:val="000000"/>
          <w:spacing w:val="0"/>
          <w:sz w:val="32"/>
          <w:szCs w:val="32"/>
          <w:shd w:val="clear" w:color="auto" w:fill="FFFFFF"/>
        </w:rPr>
        <w:t>2022年，</w:t>
      </w:r>
      <w:r>
        <w:rPr>
          <w:rFonts w:hint="eastAsia" w:ascii="Times New Roman" w:hAnsi="Times New Roman" w:eastAsia="仿宋_GB2312" w:cs="Times New Roman"/>
          <w:kern w:val="2"/>
          <w:sz w:val="32"/>
          <w:szCs w:val="32"/>
          <w:lang w:val="en-US" w:eastAsia="zh-CN" w:bidi="ar-SA"/>
        </w:rPr>
        <w:t>淄博文昌湖省级旅游度假区管理委员会</w:t>
      </w:r>
      <w:r>
        <w:rPr>
          <w:rFonts w:ascii="仿宋_GB2312" w:hAnsi="宋体" w:eastAsia="仿宋_GB2312" w:cs="仿宋_GB2312"/>
          <w:i w:val="0"/>
          <w:caps w:val="0"/>
          <w:color w:val="000000"/>
          <w:spacing w:val="0"/>
          <w:sz w:val="32"/>
          <w:szCs w:val="32"/>
        </w:rPr>
        <w:t>坚持以习近平新时代中国特色社会主义思想为指导，按照国务院、省、市、区</w:t>
      </w:r>
      <w:r>
        <w:rPr>
          <w:rFonts w:hint="eastAsia" w:ascii="仿宋_GB2312" w:hAnsi="宋体" w:eastAsia="仿宋_GB2312" w:cs="仿宋_GB2312"/>
          <w:i w:val="0"/>
          <w:caps w:val="0"/>
          <w:color w:val="000000"/>
          <w:spacing w:val="0"/>
          <w:sz w:val="32"/>
          <w:szCs w:val="32"/>
          <w:lang w:val="en-US" w:eastAsia="zh-CN"/>
        </w:rPr>
        <w:t>管委会</w:t>
      </w:r>
      <w:r>
        <w:rPr>
          <w:rFonts w:ascii="仿宋_GB2312" w:hAnsi="宋体" w:eastAsia="仿宋_GB2312" w:cs="仿宋_GB2312"/>
          <w:i w:val="0"/>
          <w:caps w:val="0"/>
          <w:color w:val="000000"/>
          <w:spacing w:val="0"/>
          <w:sz w:val="32"/>
          <w:szCs w:val="32"/>
        </w:rPr>
        <w:t>的重点工作部署，以公开促落实、促规范</w:t>
      </w:r>
      <w:r>
        <w:rPr>
          <w:rFonts w:hint="eastAsia" w:ascii="仿宋_GB2312" w:hAnsi="宋体" w:eastAsia="仿宋_GB2312" w:cs="仿宋_GB2312"/>
          <w:i w:val="0"/>
          <w:caps w:val="0"/>
          <w:color w:val="000000"/>
          <w:spacing w:val="0"/>
          <w:sz w:val="32"/>
          <w:szCs w:val="32"/>
          <w:lang w:eastAsia="zh-CN"/>
        </w:rPr>
        <w:t>，</w:t>
      </w:r>
      <w:r>
        <w:rPr>
          <w:rFonts w:ascii="仿宋_GB2312" w:hAnsi="宋体" w:eastAsia="仿宋_GB2312" w:cs="仿宋_GB2312"/>
          <w:i w:val="0"/>
          <w:caps w:val="0"/>
          <w:color w:val="000000"/>
          <w:spacing w:val="0"/>
          <w:sz w:val="32"/>
          <w:szCs w:val="32"/>
        </w:rPr>
        <w:t>充分保障公众知情权、参与权、监督权</w:t>
      </w:r>
      <w:r>
        <w:rPr>
          <w:rFonts w:hint="eastAsia" w:ascii="仿宋_GB2312" w:hAnsi="宋体" w:eastAsia="仿宋_GB2312" w:cs="仿宋_GB2312"/>
          <w:i w:val="0"/>
          <w:caps w:val="0"/>
          <w:color w:val="000000"/>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eastAsia="仿宋_GB2312" w:cs="Times New Roman"/>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lang w:eastAsia="zh-CN"/>
        </w:rPr>
        <w:t>（一）</w:t>
      </w:r>
      <w:r>
        <w:rPr>
          <w:rFonts w:hint="eastAsia" w:ascii="楷体_GB2312" w:hAnsi="楷体_GB2312" w:eastAsia="楷体_GB2312" w:cs="楷体_GB2312"/>
          <w:i w:val="0"/>
          <w:caps w:val="0"/>
          <w:color w:val="000000"/>
          <w:spacing w:val="0"/>
          <w:sz w:val="32"/>
          <w:szCs w:val="32"/>
          <w:u w:val="none"/>
          <w:lang w:val="en-US" w:eastAsia="zh-CN"/>
        </w:rPr>
        <w:t>规范推进政府信息主动公开</w:t>
      </w:r>
      <w:r>
        <w:rPr>
          <w:rFonts w:hint="default" w:ascii="Times New Roman" w:hAnsi="Times New Roman" w:eastAsia="仿宋_GB2312" w:cs="Times New Roman"/>
          <w:i w:val="0"/>
          <w:caps w:val="0"/>
          <w:color w:val="000000"/>
          <w:spacing w:val="0"/>
          <w:sz w:val="32"/>
          <w:szCs w:val="32"/>
          <w:u w:val="none"/>
        </w:rPr>
        <w:t>。</w:t>
      </w:r>
      <w:r>
        <w:rPr>
          <w:rFonts w:hint="eastAsia" w:ascii="仿宋_GB2312" w:hAnsi="仿宋_GB2312" w:eastAsia="仿宋_GB2312" w:cs="仿宋_GB2312"/>
          <w:i w:val="0"/>
          <w:caps w:val="0"/>
          <w:color w:val="000000"/>
          <w:spacing w:val="0"/>
          <w:sz w:val="32"/>
          <w:szCs w:val="32"/>
        </w:rPr>
        <w:t>严格依照《政府信息公开条例》第二十条和二十一条的规定，</w:t>
      </w:r>
      <w:r>
        <w:rPr>
          <w:rFonts w:hint="eastAsia" w:ascii="仿宋_GB2312" w:hAnsi="仿宋_GB2312" w:eastAsia="仿宋_GB2312" w:cs="仿宋_GB2312"/>
          <w:color w:val="000000"/>
          <w:kern w:val="2"/>
          <w:sz w:val="32"/>
          <w:szCs w:val="32"/>
          <w:lang w:val="en-US" w:eastAsia="zh-CN" w:bidi="ar-SA"/>
        </w:rPr>
        <w:t>持续做好信息发布、政策解读、政民互动等工作，</w:t>
      </w:r>
      <w:r>
        <w:rPr>
          <w:rFonts w:hint="eastAsia" w:ascii="仿宋_GB2312" w:hAnsi="仿宋_GB2312" w:eastAsia="仿宋_GB2312" w:cs="仿宋_GB2312"/>
          <w:i w:val="0"/>
          <w:caps w:val="0"/>
          <w:color w:val="000000"/>
          <w:spacing w:val="0"/>
          <w:sz w:val="32"/>
          <w:szCs w:val="32"/>
        </w:rPr>
        <w:t>聚焦</w:t>
      </w:r>
      <w:r>
        <w:rPr>
          <w:rFonts w:hint="eastAsia" w:ascii="仿宋_GB2312" w:hAnsi="仿宋_GB2312" w:eastAsia="仿宋_GB2312" w:cs="仿宋_GB2312"/>
          <w:i w:val="0"/>
          <w:caps w:val="0"/>
          <w:color w:val="000000"/>
          <w:spacing w:val="0"/>
          <w:sz w:val="32"/>
          <w:szCs w:val="32"/>
          <w:lang w:val="en-US" w:eastAsia="zh-CN"/>
        </w:rPr>
        <w:t>财政信息、卫生健康、乡村振兴、社会救助</w:t>
      </w:r>
      <w:r>
        <w:rPr>
          <w:rFonts w:hint="eastAsia" w:ascii="仿宋_GB2312" w:hAnsi="仿宋_GB2312" w:eastAsia="仿宋_GB2312" w:cs="仿宋_GB2312"/>
          <w:i w:val="0"/>
          <w:caps w:val="0"/>
          <w:color w:val="000000"/>
          <w:spacing w:val="0"/>
          <w:sz w:val="32"/>
          <w:szCs w:val="32"/>
          <w:u w:val="none"/>
        </w:rPr>
        <w:t>等领域</w:t>
      </w: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u w:val="none"/>
          <w:lang w:val="en-US" w:eastAsia="zh-CN"/>
        </w:rPr>
        <w:t>加大</w:t>
      </w:r>
      <w:r>
        <w:rPr>
          <w:rFonts w:hint="eastAsia" w:ascii="仿宋_GB2312" w:hAnsi="仿宋_GB2312" w:eastAsia="仿宋_GB2312" w:cs="仿宋_GB2312"/>
          <w:i w:val="0"/>
          <w:caps w:val="0"/>
          <w:color w:val="000000"/>
          <w:spacing w:val="0"/>
          <w:sz w:val="32"/>
          <w:szCs w:val="32"/>
          <w:u w:val="none"/>
        </w:rPr>
        <w:t>信息公开力度。</w:t>
      </w:r>
      <w:r>
        <w:rPr>
          <w:rFonts w:hint="eastAsia" w:ascii="仿宋_GB2312" w:hAnsi="仿宋_GB2312" w:eastAsia="仿宋_GB2312" w:cs="仿宋_GB2312"/>
          <w:i w:val="0"/>
          <w:caps w:val="0"/>
          <w:color w:val="000000"/>
          <w:spacing w:val="0"/>
          <w:sz w:val="32"/>
          <w:szCs w:val="32"/>
          <w:shd w:val="clear" w:color="auto" w:fill="FFFFFF"/>
        </w:rPr>
        <w:t>202</w:t>
      </w: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年，淄博</w:t>
      </w:r>
      <w:r>
        <w:rPr>
          <w:rFonts w:hint="eastAsia" w:ascii="仿宋_GB2312" w:hAnsi="仿宋_GB2312" w:eastAsia="仿宋_GB2312" w:cs="仿宋_GB2312"/>
          <w:i w:val="0"/>
          <w:caps w:val="0"/>
          <w:color w:val="000000"/>
          <w:spacing w:val="0"/>
          <w:sz w:val="32"/>
          <w:szCs w:val="32"/>
          <w:shd w:val="clear" w:color="auto" w:fill="FFFFFF"/>
          <w:lang w:val="en-US" w:eastAsia="zh-CN"/>
        </w:rPr>
        <w:t>文昌湖</w:t>
      </w:r>
      <w:r>
        <w:rPr>
          <w:rFonts w:hint="eastAsia" w:ascii="仿宋_GB2312" w:hAnsi="仿宋_GB2312" w:eastAsia="仿宋_GB2312" w:cs="仿宋_GB2312"/>
          <w:i w:val="0"/>
          <w:caps w:val="0"/>
          <w:color w:val="000000"/>
          <w:spacing w:val="0"/>
          <w:sz w:val="32"/>
          <w:szCs w:val="32"/>
          <w:shd w:val="clear" w:color="auto" w:fill="FFFFFF"/>
        </w:rPr>
        <w:t>区共主动公开政府信息</w:t>
      </w:r>
      <w:r>
        <w:rPr>
          <w:rFonts w:hint="eastAsia" w:ascii="仿宋_GB2312" w:hAnsi="仿宋_GB2312" w:eastAsia="仿宋_GB2312" w:cs="仿宋_GB2312"/>
          <w:i w:val="0"/>
          <w:caps w:val="0"/>
          <w:color w:val="000000"/>
          <w:spacing w:val="0"/>
          <w:sz w:val="32"/>
          <w:szCs w:val="32"/>
          <w:shd w:val="clear" w:color="auto" w:fill="FFFFFF"/>
          <w:lang w:val="en-US" w:eastAsia="zh-CN"/>
        </w:rPr>
        <w:t>1269</w:t>
      </w:r>
      <w:r>
        <w:rPr>
          <w:rFonts w:hint="eastAsia" w:ascii="仿宋_GB2312" w:hAnsi="仿宋_GB2312" w:eastAsia="仿宋_GB2312" w:cs="仿宋_GB2312"/>
          <w:i w:val="0"/>
          <w:caps w:val="0"/>
          <w:color w:val="000000"/>
          <w:spacing w:val="0"/>
          <w:sz w:val="32"/>
          <w:szCs w:val="32"/>
          <w:shd w:val="clear" w:color="auto" w:fill="FFFFFF"/>
        </w:rPr>
        <w:t>条；共公开了</w:t>
      </w: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i w:val="0"/>
          <w:caps w:val="0"/>
          <w:color w:val="000000"/>
          <w:spacing w:val="0"/>
          <w:sz w:val="32"/>
          <w:szCs w:val="32"/>
          <w:shd w:val="clear" w:color="auto" w:fill="FFFFFF"/>
        </w:rPr>
        <w:t>次管委会主任会议，公开了会议议定事项并进行了会议解读；制定印发《淄博文昌湖省级旅游度假区管理委员会办公室关于进一步规范和加强政策解读工作的通知》，</w:t>
      </w:r>
      <w:r>
        <w:rPr>
          <w:rFonts w:hint="eastAsia" w:ascii="仿宋_GB2312" w:hAnsi="仿宋_GB2312" w:eastAsia="仿宋_GB2312" w:cs="仿宋_GB2312"/>
          <w:i w:val="0"/>
          <w:caps w:val="0"/>
          <w:color w:val="000000"/>
          <w:spacing w:val="0"/>
          <w:sz w:val="32"/>
          <w:szCs w:val="32"/>
          <w:shd w:val="clear" w:color="auto" w:fill="FEFEFE"/>
        </w:rPr>
        <w:t>坚持“谁起草、谁解读”原则，</w:t>
      </w:r>
      <w:r>
        <w:rPr>
          <w:rFonts w:hint="eastAsia" w:ascii="仿宋_GB2312" w:hAnsi="仿宋_GB2312" w:eastAsia="仿宋_GB2312" w:cs="仿宋_GB2312"/>
          <w:i w:val="0"/>
          <w:caps w:val="0"/>
          <w:color w:val="000000"/>
          <w:spacing w:val="0"/>
          <w:sz w:val="32"/>
          <w:szCs w:val="32"/>
          <w:shd w:val="clear" w:color="auto" w:fill="FFFFFF"/>
        </w:rPr>
        <w:t>明确政策解读范围及内容，规范解读程序，</w:t>
      </w:r>
      <w:r>
        <w:rPr>
          <w:rFonts w:hint="eastAsia" w:ascii="仿宋_GB2312" w:hAnsi="仿宋_GB2312" w:eastAsia="仿宋_GB2312" w:cs="仿宋_GB2312"/>
          <w:i w:val="0"/>
          <w:caps w:val="0"/>
          <w:color w:val="000000"/>
          <w:spacing w:val="0"/>
          <w:sz w:val="32"/>
          <w:szCs w:val="32"/>
          <w:shd w:val="clear" w:color="auto" w:fill="FEFEFE"/>
        </w:rPr>
        <w:t>提高社会公众对政府政策的知晓度</w:t>
      </w:r>
      <w:r>
        <w:rPr>
          <w:rFonts w:hint="eastAsia" w:ascii="仿宋_GB2312" w:hAnsi="仿宋_GB2312" w:eastAsia="仿宋_GB2312" w:cs="仿宋_GB2312"/>
          <w:i w:val="0"/>
          <w:caps w:val="0"/>
          <w:color w:val="000000"/>
          <w:spacing w:val="0"/>
          <w:sz w:val="32"/>
          <w:szCs w:val="32"/>
          <w:shd w:val="clear" w:color="auto" w:fill="FEFEFE"/>
          <w:lang w:eastAsia="zh-CN"/>
        </w:rPr>
        <w:t>，</w:t>
      </w:r>
      <w:r>
        <w:rPr>
          <w:rFonts w:hint="eastAsia" w:ascii="仿宋_GB2312" w:hAnsi="仿宋_GB2312" w:eastAsia="仿宋_GB2312" w:cs="仿宋_GB2312"/>
          <w:i w:val="0"/>
          <w:caps w:val="0"/>
          <w:color w:val="000000"/>
          <w:spacing w:val="0"/>
          <w:sz w:val="32"/>
          <w:szCs w:val="32"/>
          <w:shd w:val="clear" w:color="auto" w:fill="FFFFFF"/>
        </w:rPr>
        <w:t>公开发布相关政策文件及解读信息</w:t>
      </w:r>
      <w:r>
        <w:rPr>
          <w:rFonts w:hint="eastAsia" w:ascii="仿宋_GB2312" w:hAnsi="仿宋_GB2312" w:eastAsia="仿宋_GB2312" w:cs="仿宋_GB2312"/>
          <w:i w:val="0"/>
          <w:caps w:val="0"/>
          <w:color w:val="000000"/>
          <w:spacing w:val="0"/>
          <w:sz w:val="32"/>
          <w:szCs w:val="32"/>
          <w:shd w:val="clear" w:color="auto" w:fill="FFFFFF"/>
          <w:lang w:val="en-US" w:eastAsia="zh-CN"/>
        </w:rPr>
        <w:t>11</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rPr>
        <w:t>利用政民互动栏目，强化疑难问题督办力度，不断拓宽热线服务功能，回应事件数</w:t>
      </w:r>
      <w:r>
        <w:rPr>
          <w:rFonts w:hint="eastAsia" w:ascii="仿宋_GB2312" w:hAnsi="仿宋_GB2312" w:eastAsia="仿宋_GB2312" w:cs="仿宋_GB2312"/>
          <w:i w:val="0"/>
          <w:caps w:val="0"/>
          <w:color w:val="000000"/>
          <w:spacing w:val="0"/>
          <w:sz w:val="32"/>
          <w:szCs w:val="32"/>
          <w:lang w:val="en-US" w:eastAsia="zh-CN"/>
        </w:rPr>
        <w:t>35</w:t>
      </w:r>
      <w:r>
        <w:rPr>
          <w:rFonts w:hint="eastAsia" w:ascii="仿宋_GB2312" w:hAnsi="仿宋_GB2312" w:eastAsia="仿宋_GB2312" w:cs="仿宋_GB2312"/>
          <w:i w:val="0"/>
          <w:caps w:val="0"/>
          <w:color w:val="000000"/>
          <w:spacing w:val="0"/>
          <w:sz w:val="32"/>
          <w:szCs w:val="32"/>
        </w:rPr>
        <w:t>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i w:val="0"/>
          <w:caps w:val="0"/>
          <w:color w:val="000000"/>
          <w:spacing w:val="0"/>
          <w:sz w:val="32"/>
          <w:szCs w:val="32"/>
          <w:u w:val="none"/>
        </w:rPr>
      </w:pPr>
      <w:r>
        <w:rPr>
          <w:rFonts w:hint="eastAsia" w:ascii="楷体_GB2312" w:hAnsi="楷体_GB2312" w:eastAsia="楷体_GB2312" w:cs="楷体_GB2312"/>
          <w:i w:val="0"/>
          <w:caps w:val="0"/>
          <w:color w:val="000000"/>
          <w:spacing w:val="0"/>
          <w:sz w:val="32"/>
          <w:szCs w:val="32"/>
          <w:u w:val="none"/>
          <w:lang w:val="en-US" w:eastAsia="zh-CN"/>
        </w:rPr>
        <w:t>（二）高效办理政府信息公开申请</w:t>
      </w:r>
      <w:r>
        <w:rPr>
          <w:rFonts w:hint="eastAsia" w:ascii="楷体_GB2312" w:hAnsi="楷体_GB2312" w:eastAsia="楷体_GB2312" w:cs="楷体_GB2312"/>
          <w:i w:val="0"/>
          <w:caps w:val="0"/>
          <w:color w:val="000000"/>
          <w:spacing w:val="0"/>
          <w:sz w:val="32"/>
          <w:szCs w:val="32"/>
          <w:u w:val="none"/>
        </w:rPr>
        <w:t>。</w:t>
      </w:r>
      <w:r>
        <w:rPr>
          <w:rFonts w:hint="eastAsia" w:ascii="仿宋_GB2312" w:hAnsi="仿宋_GB2312" w:eastAsia="仿宋_GB2312" w:cs="仿宋_GB2312"/>
          <w:i w:val="0"/>
          <w:caps w:val="0"/>
          <w:color w:val="000000"/>
          <w:spacing w:val="0"/>
          <w:sz w:val="32"/>
          <w:szCs w:val="32"/>
          <w:u w:val="none"/>
        </w:rPr>
        <w:t>扎实做好线下、网上依申请公开工作，2022年，区管委会共</w:t>
      </w:r>
      <w:r>
        <w:rPr>
          <w:rFonts w:hint="eastAsia" w:ascii="仿宋_GB2312" w:hAnsi="仿宋_GB2312" w:eastAsia="仿宋_GB2312" w:cs="仿宋_GB2312"/>
          <w:i w:val="0"/>
          <w:caps w:val="0"/>
          <w:color w:val="000000"/>
          <w:spacing w:val="0"/>
          <w:sz w:val="32"/>
          <w:szCs w:val="32"/>
          <w:u w:val="none"/>
          <w:lang w:val="en-US" w:eastAsia="zh-CN"/>
        </w:rPr>
        <w:t>收到</w:t>
      </w:r>
      <w:r>
        <w:rPr>
          <w:rFonts w:hint="eastAsia" w:ascii="仿宋_GB2312" w:hAnsi="仿宋_GB2312" w:eastAsia="仿宋_GB2312" w:cs="仿宋_GB2312"/>
          <w:i w:val="0"/>
          <w:caps w:val="0"/>
          <w:color w:val="000000"/>
          <w:spacing w:val="0"/>
          <w:sz w:val="32"/>
          <w:szCs w:val="32"/>
          <w:u w:val="none"/>
        </w:rPr>
        <w:t>政府信息公开申请</w:t>
      </w:r>
      <w:r>
        <w:rPr>
          <w:rFonts w:hint="eastAsia" w:ascii="仿宋_GB2312" w:hAnsi="仿宋_GB2312" w:eastAsia="仿宋_GB2312" w:cs="仿宋_GB2312"/>
          <w:i w:val="0"/>
          <w:caps w:val="0"/>
          <w:color w:val="000000"/>
          <w:spacing w:val="0"/>
          <w:sz w:val="32"/>
          <w:szCs w:val="32"/>
          <w:u w:val="none"/>
          <w:lang w:val="en-US" w:eastAsia="zh-CN"/>
        </w:rPr>
        <w:t>17</w:t>
      </w:r>
      <w:r>
        <w:rPr>
          <w:rFonts w:hint="eastAsia" w:ascii="仿宋_GB2312" w:hAnsi="仿宋_GB2312" w:eastAsia="仿宋_GB2312" w:cs="仿宋_GB2312"/>
          <w:i w:val="0"/>
          <w:caps w:val="0"/>
          <w:color w:val="000000"/>
          <w:spacing w:val="0"/>
          <w:sz w:val="32"/>
          <w:szCs w:val="32"/>
          <w:u w:val="none"/>
        </w:rPr>
        <w:t>件，较2021年增加</w:t>
      </w:r>
      <w:r>
        <w:rPr>
          <w:rFonts w:hint="eastAsia" w:ascii="仿宋_GB2312" w:hAnsi="仿宋_GB2312" w:eastAsia="仿宋_GB2312" w:cs="仿宋_GB2312"/>
          <w:i w:val="0"/>
          <w:caps w:val="0"/>
          <w:color w:val="000000"/>
          <w:spacing w:val="0"/>
          <w:sz w:val="32"/>
          <w:szCs w:val="32"/>
          <w:u w:val="none"/>
          <w:lang w:val="en-US" w:eastAsia="zh-CN"/>
        </w:rPr>
        <w:t>1</w:t>
      </w:r>
      <w:r>
        <w:rPr>
          <w:rFonts w:hint="eastAsia" w:ascii="仿宋_GB2312" w:hAnsi="仿宋_GB2312" w:eastAsia="仿宋_GB2312" w:cs="仿宋_GB2312"/>
          <w:i w:val="0"/>
          <w:caps w:val="0"/>
          <w:color w:val="000000"/>
          <w:spacing w:val="0"/>
          <w:sz w:val="32"/>
          <w:szCs w:val="32"/>
          <w:u w:val="none"/>
        </w:rPr>
        <w:t>件，主要涉及</w:t>
      </w:r>
      <w:r>
        <w:rPr>
          <w:rFonts w:hint="eastAsia" w:ascii="仿宋_GB2312" w:hAnsi="仿宋_GB2312" w:eastAsia="仿宋_GB2312" w:cs="仿宋_GB2312"/>
          <w:i w:val="0"/>
          <w:caps w:val="0"/>
          <w:color w:val="000000"/>
          <w:spacing w:val="0"/>
          <w:sz w:val="32"/>
          <w:szCs w:val="32"/>
          <w:u w:val="none"/>
          <w:lang w:val="en-US" w:eastAsia="zh-CN"/>
        </w:rPr>
        <w:t>房屋征收</w:t>
      </w:r>
      <w:r>
        <w:rPr>
          <w:rFonts w:hint="eastAsia" w:ascii="仿宋_GB2312" w:hAnsi="仿宋_GB2312" w:eastAsia="仿宋_GB2312" w:cs="仿宋_GB2312"/>
          <w:i w:val="0"/>
          <w:caps w:val="0"/>
          <w:color w:val="000000"/>
          <w:spacing w:val="0"/>
          <w:sz w:val="32"/>
          <w:szCs w:val="32"/>
          <w:u w:val="none"/>
        </w:rPr>
        <w:t>等</w:t>
      </w:r>
      <w:r>
        <w:rPr>
          <w:rFonts w:hint="eastAsia" w:ascii="仿宋_GB2312" w:hAnsi="仿宋_GB2312" w:eastAsia="仿宋_GB2312" w:cs="仿宋_GB2312"/>
          <w:i w:val="0"/>
          <w:caps w:val="0"/>
          <w:color w:val="000000"/>
          <w:spacing w:val="0"/>
          <w:sz w:val="32"/>
          <w:szCs w:val="32"/>
          <w:u w:val="none"/>
          <w:lang w:eastAsia="zh-CN"/>
        </w:rPr>
        <w:t>方面。</w:t>
      </w:r>
      <w:r>
        <w:rPr>
          <w:rFonts w:hint="eastAsia" w:ascii="仿宋_GB2312" w:hAnsi="仿宋_GB2312" w:eastAsia="仿宋_GB2312" w:cs="仿宋_GB2312"/>
          <w:i w:val="0"/>
          <w:caps w:val="0"/>
          <w:color w:val="000000"/>
          <w:spacing w:val="0"/>
          <w:sz w:val="32"/>
          <w:szCs w:val="32"/>
          <w:u w:val="none"/>
        </w:rPr>
        <w:t>因淄博文昌湖区执法主体为淄博文昌湖省级旅游度假区管理委员会，统一规范政务公开答复主体为淄博文昌湖省级旅游度假区管理委员会。</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jc w:val="center"/>
        <w:rPr>
          <w:rFonts w:hint="eastAsia" w:ascii="仿宋_GB2312" w:hAnsi="仿宋_GB2312" w:eastAsia="仿宋_GB2312" w:cs="仿宋_GB2312"/>
          <w:i w:val="0"/>
          <w:caps w:val="0"/>
          <w:color w:val="000000"/>
          <w:spacing w:val="0"/>
          <w:sz w:val="32"/>
          <w:szCs w:val="32"/>
          <w:u w:val="none"/>
        </w:rPr>
      </w:pPr>
      <w:r>
        <w:drawing>
          <wp:inline distT="0" distB="0" distL="114300" distR="114300">
            <wp:extent cx="4591050" cy="2506345"/>
            <wp:effectExtent l="9525" t="9525" r="19685" b="10160"/>
            <wp:docPr id="1" name="图表 2"/>
            <wp:cNvGraphicFramePr/>
            <a:graphic xmlns:a="http://schemas.openxmlformats.org/drawingml/2006/main">
              <a:graphicData uri="http://schemas.openxmlformats.org/drawingml/2006/picture">
                <pic:pic xmlns:pic="http://schemas.openxmlformats.org/drawingml/2006/picture">
                  <pic:nvPicPr>
                    <pic:cNvPr id="1" name="图表 2"/>
                    <pic:cNvPicPr/>
                  </pic:nvPicPr>
                  <pic:blipFill>
                    <a:blip r:embed="rId4"/>
                    <a:stretch>
                      <a:fillRect/>
                    </a:stretch>
                  </pic:blipFill>
                  <pic:spPr>
                    <a:xfrm>
                      <a:off x="0" y="0"/>
                      <a:ext cx="4591050" cy="2506345"/>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default" w:ascii="Times New Roman" w:hAnsi="Times New Roman" w:eastAsia="仿宋_GB2312" w:cs="Times New Roman"/>
          <w:i w:val="0"/>
          <w:caps w:val="0"/>
          <w:color w:val="000000"/>
          <w:spacing w:val="0"/>
          <w:sz w:val="32"/>
          <w:szCs w:val="32"/>
          <w:u w:val="none"/>
        </w:rPr>
      </w:pPr>
      <w:r>
        <w:rPr>
          <w:rFonts w:hint="default" w:ascii="楷体_GB2312" w:hAnsi="楷体_GB2312" w:eastAsia="楷体_GB2312" w:cs="楷体_GB2312"/>
          <w:i w:val="0"/>
          <w:caps w:val="0"/>
          <w:color w:val="000000"/>
          <w:spacing w:val="0"/>
          <w:sz w:val="32"/>
          <w:szCs w:val="32"/>
          <w:u w:val="none"/>
        </w:rPr>
        <w:t>（三）</w:t>
      </w:r>
      <w:r>
        <w:rPr>
          <w:rFonts w:hint="eastAsia" w:ascii="楷体_GB2312" w:hAnsi="楷体_GB2312" w:eastAsia="楷体_GB2312" w:cs="楷体_GB2312"/>
          <w:i w:val="0"/>
          <w:caps w:val="0"/>
          <w:color w:val="000000"/>
          <w:spacing w:val="0"/>
          <w:sz w:val="32"/>
          <w:szCs w:val="32"/>
          <w:u w:val="none"/>
          <w:lang w:val="en-US" w:eastAsia="zh-CN"/>
        </w:rPr>
        <w:t>持续加强</w:t>
      </w:r>
      <w:r>
        <w:rPr>
          <w:rFonts w:hint="default" w:ascii="楷体_GB2312" w:hAnsi="楷体_GB2312" w:eastAsia="楷体_GB2312" w:cs="楷体_GB2312"/>
          <w:i w:val="0"/>
          <w:caps w:val="0"/>
          <w:color w:val="000000"/>
          <w:spacing w:val="0"/>
          <w:sz w:val="32"/>
          <w:szCs w:val="32"/>
          <w:u w:val="none"/>
        </w:rPr>
        <w:t>政府信息</w:t>
      </w:r>
      <w:r>
        <w:rPr>
          <w:rFonts w:hint="eastAsia" w:ascii="楷体_GB2312" w:hAnsi="楷体_GB2312" w:eastAsia="楷体_GB2312" w:cs="楷体_GB2312"/>
          <w:i w:val="0"/>
          <w:caps w:val="0"/>
          <w:color w:val="000000"/>
          <w:spacing w:val="0"/>
          <w:sz w:val="32"/>
          <w:szCs w:val="32"/>
          <w:u w:val="none"/>
          <w:lang w:val="en-US" w:eastAsia="zh-CN"/>
        </w:rPr>
        <w:t>管理</w:t>
      </w:r>
      <w:r>
        <w:rPr>
          <w:rFonts w:hint="default" w:ascii="楷体_GB2312" w:hAnsi="楷体_GB2312" w:eastAsia="楷体_GB2312" w:cs="楷体_GB2312"/>
          <w:i w:val="0"/>
          <w:caps w:val="0"/>
          <w:color w:val="000000"/>
          <w:spacing w:val="0"/>
          <w:sz w:val="32"/>
          <w:szCs w:val="32"/>
          <w:u w:val="none"/>
        </w:rPr>
        <w:t>。</w:t>
      </w:r>
      <w:r>
        <w:rPr>
          <w:rFonts w:hint="eastAsia" w:ascii="仿宋_GB2312" w:hAnsi="仿宋_GB2312" w:eastAsia="仿宋_GB2312" w:cs="仿宋_GB2312"/>
          <w:i w:val="0"/>
          <w:caps w:val="0"/>
          <w:color w:val="000000"/>
          <w:spacing w:val="0"/>
          <w:sz w:val="32"/>
          <w:szCs w:val="32"/>
          <w:u w:val="none"/>
          <w:lang w:val="en-US" w:eastAsia="zh-CN"/>
        </w:rPr>
        <w:t>一是</w:t>
      </w:r>
      <w:r>
        <w:rPr>
          <w:rFonts w:hint="eastAsia" w:ascii="仿宋_GB2312" w:hAnsi="仿宋_GB2312" w:eastAsia="仿宋_GB2312" w:cs="仿宋_GB2312"/>
          <w:i w:val="0"/>
          <w:caps w:val="0"/>
          <w:color w:val="000000"/>
          <w:spacing w:val="0"/>
          <w:sz w:val="32"/>
          <w:szCs w:val="32"/>
          <w:u w:val="none"/>
        </w:rPr>
        <w:t>加强和规范政府信息管理，动态更新</w:t>
      </w:r>
      <w:r>
        <w:rPr>
          <w:rFonts w:hint="eastAsia" w:ascii="仿宋_GB2312" w:hAnsi="仿宋_GB2312" w:eastAsia="仿宋_GB2312" w:cs="仿宋_GB2312"/>
          <w:i w:val="0"/>
          <w:caps w:val="0"/>
          <w:color w:val="000000"/>
          <w:spacing w:val="0"/>
          <w:sz w:val="32"/>
          <w:szCs w:val="32"/>
          <w:u w:val="none"/>
          <w:lang w:val="en-US" w:eastAsia="zh-CN"/>
        </w:rPr>
        <w:t>区管委会</w:t>
      </w:r>
      <w:r>
        <w:rPr>
          <w:rFonts w:hint="eastAsia" w:ascii="仿宋_GB2312" w:hAnsi="仿宋_GB2312" w:eastAsia="仿宋_GB2312" w:cs="仿宋_GB2312"/>
          <w:i w:val="0"/>
          <w:caps w:val="0"/>
          <w:color w:val="000000"/>
          <w:spacing w:val="0"/>
          <w:sz w:val="32"/>
          <w:szCs w:val="32"/>
          <w:u w:val="none"/>
        </w:rPr>
        <w:t>主动公开基本目录，按国家、省政务公开年度要点和市</w:t>
      </w: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u w:val="none"/>
          <w:lang w:val="en-US" w:eastAsia="zh-CN"/>
        </w:rPr>
        <w:t>区</w:t>
      </w:r>
      <w:r>
        <w:rPr>
          <w:rFonts w:hint="eastAsia" w:ascii="仿宋_GB2312" w:hAnsi="仿宋_GB2312" w:eastAsia="仿宋_GB2312" w:cs="仿宋_GB2312"/>
          <w:i w:val="0"/>
          <w:caps w:val="0"/>
          <w:color w:val="000000"/>
          <w:spacing w:val="0"/>
          <w:sz w:val="32"/>
          <w:szCs w:val="32"/>
          <w:u w:val="none"/>
        </w:rPr>
        <w:t>年度工作方案完善目录事项。二是组织开展政府文件网上发布格式规范工作，完成2016年以来</w:t>
      </w:r>
      <w:r>
        <w:rPr>
          <w:rFonts w:hint="eastAsia" w:ascii="仿宋_GB2312" w:hAnsi="仿宋_GB2312" w:eastAsia="仿宋_GB2312" w:cs="仿宋_GB2312"/>
          <w:i w:val="0"/>
          <w:caps w:val="0"/>
          <w:color w:val="000000"/>
          <w:spacing w:val="0"/>
          <w:sz w:val="32"/>
          <w:szCs w:val="32"/>
          <w:u w:val="none"/>
          <w:lang w:val="en-US" w:eastAsia="zh-CN"/>
        </w:rPr>
        <w:t>130</w:t>
      </w:r>
      <w:r>
        <w:rPr>
          <w:rFonts w:hint="eastAsia" w:ascii="仿宋_GB2312" w:hAnsi="仿宋_GB2312" w:eastAsia="仿宋_GB2312" w:cs="仿宋_GB2312"/>
          <w:i w:val="0"/>
          <w:caps w:val="0"/>
          <w:color w:val="000000"/>
          <w:spacing w:val="0"/>
          <w:sz w:val="32"/>
          <w:szCs w:val="32"/>
          <w:u w:val="none"/>
        </w:rPr>
        <w:t>余件文件公开属性认定、主题分类划分、发文机关代字规范等工作。三是</w:t>
      </w:r>
      <w:r>
        <w:rPr>
          <w:rFonts w:hint="eastAsia" w:ascii="仿宋_GB2312" w:hAnsi="仿宋_GB2312" w:eastAsia="仿宋_GB2312" w:cs="仿宋_GB2312"/>
          <w:i w:val="0"/>
          <w:caps w:val="0"/>
          <w:color w:val="000000"/>
          <w:spacing w:val="0"/>
          <w:sz w:val="32"/>
          <w:szCs w:val="32"/>
          <w:u w:val="none"/>
          <w:lang w:val="en-US" w:eastAsia="zh-CN"/>
        </w:rPr>
        <w:t>持续</w:t>
      </w:r>
      <w:r>
        <w:rPr>
          <w:rFonts w:hint="eastAsia" w:ascii="仿宋_GB2312" w:hAnsi="仿宋_GB2312" w:eastAsia="仿宋_GB2312" w:cs="仿宋_GB2312"/>
          <w:i w:val="0"/>
          <w:caps w:val="0"/>
          <w:color w:val="000000"/>
          <w:spacing w:val="0"/>
          <w:sz w:val="32"/>
          <w:szCs w:val="32"/>
          <w:u w:val="none"/>
        </w:rPr>
        <w:t>做好公开信息保密审查。按照“谁公开谁审查”“谁审查谁负责”和“先审核后公开”的原则，规范审查程序，落实审查责任。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仿宋_GB2312"/>
          <w:i w:val="0"/>
          <w:caps w:val="0"/>
          <w:color w:val="000000"/>
          <w:spacing w:val="0"/>
          <w:sz w:val="32"/>
          <w:szCs w:val="32"/>
          <w:shd w:val="clear" w:color="auto" w:fill="FFFFFF"/>
        </w:rPr>
      </w:pPr>
      <w:r>
        <w:rPr>
          <w:rFonts w:hint="default" w:ascii="楷体_GB2312" w:hAnsi="楷体_GB2312" w:eastAsia="楷体_GB2312" w:cs="楷体_GB2312"/>
          <w:i w:val="0"/>
          <w:caps w:val="0"/>
          <w:color w:val="000000"/>
          <w:spacing w:val="0"/>
          <w:sz w:val="32"/>
          <w:szCs w:val="32"/>
          <w:u w:val="none"/>
        </w:rPr>
        <w:t>（四）</w:t>
      </w:r>
      <w:r>
        <w:rPr>
          <w:rFonts w:hint="eastAsia" w:ascii="楷体_GB2312" w:hAnsi="楷体_GB2312" w:eastAsia="楷体_GB2312" w:cs="楷体_GB2312"/>
          <w:i w:val="0"/>
          <w:caps w:val="0"/>
          <w:color w:val="000000"/>
          <w:spacing w:val="0"/>
          <w:sz w:val="32"/>
          <w:szCs w:val="32"/>
          <w:u w:val="none"/>
          <w:lang w:val="en-US" w:eastAsia="zh-CN"/>
        </w:rPr>
        <w:t>优化</w:t>
      </w:r>
      <w:r>
        <w:rPr>
          <w:rFonts w:ascii="楷体_GB2312" w:hAnsi="宋体" w:eastAsia="楷体_GB2312" w:cs="楷体_GB2312"/>
          <w:i w:val="0"/>
          <w:caps w:val="0"/>
          <w:color w:val="000000"/>
          <w:spacing w:val="0"/>
          <w:sz w:val="32"/>
          <w:szCs w:val="32"/>
          <w:shd w:val="clear" w:color="auto" w:fill="FFFFFF"/>
        </w:rPr>
        <w:t>政府信息公开平台建设</w:t>
      </w:r>
      <w:r>
        <w:rPr>
          <w:rFonts w:hint="default" w:ascii="Times New Roman" w:hAnsi="Times New Roman" w:eastAsia="仿宋_GB2312" w:cs="Times New Roman"/>
          <w:i w:val="0"/>
          <w:caps w:val="0"/>
          <w:color w:val="000000"/>
          <w:spacing w:val="0"/>
          <w:sz w:val="32"/>
          <w:szCs w:val="32"/>
          <w:u w:val="none"/>
        </w:rPr>
        <w:t>。</w:t>
      </w:r>
      <w:r>
        <w:rPr>
          <w:rFonts w:hint="eastAsia" w:ascii="仿宋_GB2312" w:hAnsi="仿宋_GB2312" w:eastAsia="仿宋_GB2312" w:cs="仿宋_GB2312"/>
          <w:i w:val="0"/>
          <w:caps w:val="0"/>
          <w:color w:val="000000"/>
          <w:spacing w:val="0"/>
          <w:sz w:val="32"/>
          <w:szCs w:val="32"/>
          <w:shd w:val="clear" w:color="auto" w:fill="FFFFFF"/>
        </w:rPr>
        <w:t>充分利用政务公开平台进行政府信息公开，创建“扩大有效投资”、“公共企事业单位信息公开”等栏目，整合相关信息，集中对外发布，方便百姓查询使用。加强政务新媒体平台建设，强化日常监管，定期对政务新媒体进行抽查检查，督促问题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i w:val="0"/>
          <w:caps w:val="0"/>
          <w:color w:val="000000"/>
          <w:spacing w:val="0"/>
          <w:sz w:val="32"/>
          <w:szCs w:val="32"/>
          <w:shd w:val="clear" w:color="auto" w:fill="FFFFFF"/>
          <w:lang w:eastAsia="zh-CN"/>
        </w:rPr>
      </w:pPr>
      <w:r>
        <w:rPr>
          <w:rFonts w:hint="default" w:ascii="楷体_GB2312" w:hAnsi="楷体_GB2312" w:eastAsia="楷体_GB2312" w:cs="楷体_GB2312"/>
          <w:i w:val="0"/>
          <w:caps w:val="0"/>
          <w:color w:val="000000"/>
          <w:spacing w:val="0"/>
          <w:sz w:val="32"/>
          <w:szCs w:val="32"/>
          <w:u w:val="none"/>
          <w:lang w:val="en-US" w:eastAsia="zh-CN"/>
        </w:rPr>
        <w:t>（五）</w:t>
      </w:r>
      <w:r>
        <w:rPr>
          <w:rFonts w:ascii="楷体_GB2312" w:hAnsi="宋体" w:eastAsia="楷体_GB2312" w:cs="楷体_GB2312"/>
          <w:i w:val="0"/>
          <w:caps w:val="0"/>
          <w:color w:val="000000"/>
          <w:spacing w:val="0"/>
          <w:sz w:val="32"/>
          <w:szCs w:val="32"/>
          <w:shd w:val="clear" w:color="auto" w:fill="FFFFFF"/>
        </w:rPr>
        <w:t>强化政务公开</w:t>
      </w:r>
      <w:r>
        <w:rPr>
          <w:rFonts w:hint="default" w:ascii="楷体_GB2312" w:hAnsi="宋体" w:eastAsia="楷体_GB2312" w:cs="楷体_GB2312"/>
          <w:i w:val="0"/>
          <w:caps w:val="0"/>
          <w:color w:val="000000"/>
          <w:spacing w:val="0"/>
          <w:sz w:val="32"/>
          <w:szCs w:val="32"/>
          <w:shd w:val="clear" w:color="auto" w:fill="FFFFFF"/>
        </w:rPr>
        <w:t>工作监督指导</w:t>
      </w:r>
      <w:r>
        <w:rPr>
          <w:rFonts w:hint="default" w:ascii="楷体_GB2312" w:hAnsi="楷体_GB2312" w:eastAsia="楷体_GB2312" w:cs="楷体_GB2312"/>
          <w:i w:val="0"/>
          <w:caps w:val="0"/>
          <w:color w:val="000000"/>
          <w:spacing w:val="0"/>
          <w:sz w:val="32"/>
          <w:szCs w:val="32"/>
          <w:u w:val="none"/>
        </w:rPr>
        <w:t>。</w:t>
      </w:r>
      <w:r>
        <w:rPr>
          <w:rFonts w:hint="eastAsia" w:ascii="仿宋_GB2312" w:hAnsi="仿宋_GB2312" w:eastAsia="仿宋_GB2312" w:cs="仿宋_GB2312"/>
          <w:i w:val="0"/>
          <w:caps w:val="0"/>
          <w:color w:val="000000"/>
          <w:spacing w:val="0"/>
          <w:sz w:val="32"/>
          <w:szCs w:val="32"/>
          <w:shd w:val="clear" w:color="auto" w:fill="FFFFFF"/>
        </w:rPr>
        <w:t>强化组织领导，</w:t>
      </w:r>
      <w:r>
        <w:rPr>
          <w:rFonts w:hint="eastAsia" w:ascii="仿宋_GB2312" w:hAnsi="仿宋_GB2312" w:eastAsia="仿宋_GB2312" w:cs="仿宋_GB2312"/>
          <w:i w:val="0"/>
          <w:caps w:val="0"/>
          <w:color w:val="000000"/>
          <w:spacing w:val="0"/>
          <w:sz w:val="32"/>
          <w:szCs w:val="32"/>
          <w:shd w:val="clear" w:color="auto" w:fill="FFFFFF"/>
          <w:lang w:val="en-US" w:eastAsia="zh-CN"/>
        </w:rPr>
        <w:t>调整</w:t>
      </w:r>
      <w:r>
        <w:rPr>
          <w:rFonts w:hint="eastAsia" w:ascii="仿宋_GB2312" w:hAnsi="仿宋_GB2312" w:eastAsia="仿宋_GB2312" w:cs="仿宋_GB2312"/>
          <w:i w:val="0"/>
          <w:caps w:val="0"/>
          <w:color w:val="000000"/>
          <w:spacing w:val="0"/>
          <w:sz w:val="32"/>
          <w:szCs w:val="32"/>
          <w:shd w:val="clear" w:color="auto" w:fill="FFFFFF"/>
        </w:rPr>
        <w:t>政务公开领导小组</w:t>
      </w:r>
      <w:r>
        <w:rPr>
          <w:rFonts w:hint="eastAsia" w:ascii="仿宋_GB2312" w:hAnsi="仿宋_GB2312" w:eastAsia="仿宋_GB2312" w:cs="仿宋_GB2312"/>
          <w:i w:val="0"/>
          <w:caps w:val="0"/>
          <w:color w:val="000000"/>
          <w:spacing w:val="0"/>
          <w:sz w:val="32"/>
          <w:szCs w:val="32"/>
          <w:shd w:val="clear" w:color="auto" w:fill="FFFFFF"/>
          <w:lang w:val="en-US" w:eastAsia="zh-CN"/>
        </w:rPr>
        <w:t>成员，进一步压实工作责任。</w:t>
      </w:r>
      <w:r>
        <w:rPr>
          <w:rFonts w:hint="eastAsia" w:ascii="仿宋_GB2312" w:hAnsi="仿宋_GB2312" w:eastAsia="仿宋_GB2312" w:cs="仿宋_GB2312"/>
          <w:i w:val="0"/>
          <w:caps w:val="0"/>
          <w:color w:val="000000"/>
          <w:spacing w:val="0"/>
          <w:sz w:val="32"/>
          <w:szCs w:val="32"/>
          <w:shd w:val="clear" w:color="auto" w:fill="FFFFFF"/>
        </w:rPr>
        <w:t>强化工作考核体系，对各镇、各部门政务信息公开的内容进行监督检查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定期通报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同时针对国办、省评估</w:t>
      </w:r>
      <w:r>
        <w:rPr>
          <w:rFonts w:hint="eastAsia" w:ascii="仿宋_GB2312" w:hAnsi="仿宋_GB2312" w:eastAsia="仿宋_GB2312" w:cs="仿宋_GB2312"/>
          <w:i w:val="0"/>
          <w:caps w:val="0"/>
          <w:color w:val="000000"/>
          <w:spacing w:val="0"/>
          <w:sz w:val="32"/>
          <w:szCs w:val="32"/>
          <w:shd w:val="clear" w:color="auto" w:fill="FFFFFF"/>
          <w:lang w:val="en-US" w:eastAsia="zh-CN"/>
        </w:rPr>
        <w:t>和市级通报</w:t>
      </w:r>
      <w:r>
        <w:rPr>
          <w:rFonts w:hint="eastAsia" w:ascii="仿宋_GB2312" w:hAnsi="仿宋_GB2312" w:eastAsia="仿宋_GB2312" w:cs="仿宋_GB2312"/>
          <w:i w:val="0"/>
          <w:caps w:val="0"/>
          <w:color w:val="000000"/>
          <w:spacing w:val="0"/>
          <w:sz w:val="32"/>
          <w:szCs w:val="32"/>
          <w:shd w:val="clear" w:color="auto" w:fill="FFFFFF"/>
        </w:rPr>
        <w:t>反馈问题组织</w:t>
      </w:r>
      <w:r>
        <w:rPr>
          <w:rFonts w:hint="eastAsia" w:ascii="仿宋_GB2312" w:hAnsi="仿宋_GB2312" w:eastAsia="仿宋_GB2312" w:cs="仿宋_GB2312"/>
          <w:i w:val="0"/>
          <w:caps w:val="0"/>
          <w:color w:val="000000"/>
          <w:spacing w:val="0"/>
          <w:sz w:val="32"/>
          <w:szCs w:val="32"/>
          <w:shd w:val="clear" w:color="auto" w:fill="FFFFFF"/>
          <w:lang w:val="en-US" w:eastAsia="zh-CN"/>
        </w:rPr>
        <w:t>各镇、各</w:t>
      </w:r>
      <w:r>
        <w:rPr>
          <w:rFonts w:hint="eastAsia" w:ascii="仿宋_GB2312" w:hAnsi="仿宋_GB2312" w:eastAsia="仿宋_GB2312" w:cs="仿宋_GB2312"/>
          <w:i w:val="0"/>
          <w:caps w:val="0"/>
          <w:color w:val="000000"/>
          <w:spacing w:val="0"/>
          <w:sz w:val="32"/>
          <w:szCs w:val="32"/>
          <w:shd w:val="clear" w:color="auto" w:fill="FFFFFF"/>
        </w:rPr>
        <w:t>部门开展“回头看”，形成工作闭环，确保整改效果。开展业务培训，制定《文昌湖区2022年政务公开工作培训计划》，对从事政务公开工作人员进行业务培训，提升工作人员政务公开工作水平。202</w:t>
      </w: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年，共开展</w:t>
      </w:r>
      <w:r>
        <w:rPr>
          <w:rFonts w:hint="eastAsia" w:ascii="仿宋_GB2312" w:hAnsi="仿宋_GB2312" w:eastAsia="仿宋_GB2312" w:cs="仿宋_GB2312"/>
          <w:i w:val="0"/>
          <w:caps w:val="0"/>
          <w:color w:val="000000"/>
          <w:spacing w:val="0"/>
          <w:sz w:val="32"/>
          <w:szCs w:val="32"/>
          <w:shd w:val="clear" w:color="auto" w:fill="FFFFFF"/>
          <w:lang w:eastAsia="zh-CN"/>
        </w:rPr>
        <w:t>检查</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次，</w:t>
      </w:r>
      <w:r>
        <w:rPr>
          <w:rFonts w:hint="eastAsia" w:ascii="仿宋_GB2312" w:hAnsi="仿宋_GB2312" w:eastAsia="仿宋_GB2312" w:cs="仿宋_GB2312"/>
          <w:i w:val="0"/>
          <w:caps w:val="0"/>
          <w:color w:val="000000"/>
          <w:spacing w:val="0"/>
          <w:sz w:val="32"/>
          <w:szCs w:val="32"/>
          <w:shd w:val="clear" w:color="auto" w:fill="FFFFFF"/>
          <w:lang w:eastAsia="zh-CN"/>
        </w:rPr>
        <w:t>发现</w:t>
      </w:r>
      <w:r>
        <w:rPr>
          <w:rFonts w:hint="eastAsia" w:ascii="仿宋_GB2312" w:hAnsi="仿宋_GB2312" w:eastAsia="仿宋_GB2312" w:cs="仿宋_GB2312"/>
          <w:i w:val="0"/>
          <w:caps w:val="0"/>
          <w:color w:val="000000"/>
          <w:spacing w:val="0"/>
          <w:sz w:val="32"/>
          <w:szCs w:val="32"/>
          <w:shd w:val="clear" w:color="auto" w:fill="FFFFFF"/>
        </w:rPr>
        <w:t>问题</w:t>
      </w:r>
      <w:r>
        <w:rPr>
          <w:rFonts w:hint="eastAsia" w:ascii="仿宋_GB2312" w:hAnsi="仿宋_GB2312" w:eastAsia="仿宋_GB2312" w:cs="仿宋_GB2312"/>
          <w:i w:val="0"/>
          <w:caps w:val="0"/>
          <w:color w:val="000000"/>
          <w:spacing w:val="0"/>
          <w:sz w:val="32"/>
          <w:szCs w:val="32"/>
          <w:shd w:val="clear" w:color="auto" w:fill="FFFFFF"/>
          <w:lang w:val="en-US" w:eastAsia="zh-CN"/>
        </w:rPr>
        <w:t>50</w:t>
      </w:r>
      <w:r>
        <w:rPr>
          <w:rFonts w:hint="eastAsia" w:ascii="仿宋_GB2312" w:hAnsi="仿宋_GB2312" w:eastAsia="仿宋_GB2312" w:cs="仿宋_GB2312"/>
          <w:i w:val="0"/>
          <w:caps w:val="0"/>
          <w:color w:val="000000"/>
          <w:spacing w:val="0"/>
          <w:sz w:val="32"/>
          <w:szCs w:val="32"/>
          <w:shd w:val="clear" w:color="auto" w:fill="FFFFFF"/>
        </w:rPr>
        <w:t>余项</w:t>
      </w:r>
      <w:r>
        <w:rPr>
          <w:rFonts w:hint="eastAsia" w:ascii="仿宋_GB2312" w:hAnsi="仿宋_GB2312" w:eastAsia="仿宋_GB2312" w:cs="仿宋_GB2312"/>
          <w:i w:val="0"/>
          <w:caps w:val="0"/>
          <w:color w:val="000000"/>
          <w:spacing w:val="0"/>
          <w:sz w:val="32"/>
          <w:szCs w:val="32"/>
          <w:shd w:val="clear" w:color="auto" w:fill="FFFFFF"/>
          <w:lang w:eastAsia="zh-CN"/>
        </w:rPr>
        <w:t>，督促相关部门立行整改并在考核通报中予以体现</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2022年，文昌湖区政府信息公开工作无社会评议和责任追究结果情况。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 w:lineRule="atLeast"/>
        <w:ind w:right="0" w:firstLine="640" w:firstLineChars="200"/>
        <w:jc w:val="both"/>
        <w:textAlignment w:val="auto"/>
        <w:rPr>
          <w:rFonts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2"/>
          <w:szCs w:val="32"/>
          <w:shd w:val="clear" w:color="auto" w:fill="FFFFFF"/>
        </w:rPr>
        <w:t>二、主动公开政府信息情况</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15"/>
        <w:gridCol w:w="2215"/>
        <w:gridCol w:w="2215"/>
        <w:gridCol w:w="2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trPr>
        <w:tc>
          <w:tcPr>
            <w:tcW w:w="9409" w:type="dxa"/>
            <w:gridSpan w:val="4"/>
            <w:tcBorders>
              <w:top w:val="single" w:color="auto" w:sz="8" w:space="0"/>
              <w:left w:val="single" w:color="auto" w:sz="8" w:space="0"/>
              <w:bottom w:val="single" w:color="auto" w:sz="8" w:space="0"/>
              <w:right w:val="single" w:color="000000" w:sz="8" w:space="0"/>
            </w:tcBorders>
            <w:shd w:val="clear" w:color="auto" w:fill="C6D9F1"/>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caps w:val="0"/>
                <w:color w:val="000000"/>
                <w:spacing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2"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仿宋_GB2312" w:hAnsi="微软雅黑" w:eastAsia="仿宋_GB2312" w:cs="仿宋_GB2312"/>
                <w:i w:val="0"/>
                <w:caps w:val="0"/>
                <w:color w:val="000000"/>
                <w:spacing w:val="0"/>
                <w:sz w:val="21"/>
                <w:szCs w:val="21"/>
              </w:rPr>
              <w:t>信息内容</w:t>
            </w:r>
          </w:p>
        </w:tc>
        <w:tc>
          <w:tcPr>
            <w:tcW w:w="221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本年制发件数</w:t>
            </w:r>
          </w:p>
        </w:tc>
        <w:tc>
          <w:tcPr>
            <w:tcW w:w="221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本年废止件数</w:t>
            </w:r>
          </w:p>
        </w:tc>
        <w:tc>
          <w:tcPr>
            <w:tcW w:w="276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规章</w:t>
            </w:r>
          </w:p>
        </w:tc>
        <w:tc>
          <w:tcPr>
            <w:tcW w:w="221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0</w:t>
            </w:r>
          </w:p>
        </w:tc>
        <w:tc>
          <w:tcPr>
            <w:tcW w:w="221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0</w:t>
            </w:r>
          </w:p>
        </w:tc>
        <w:tc>
          <w:tcPr>
            <w:tcW w:w="276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行政规范性文件</w:t>
            </w:r>
          </w:p>
        </w:tc>
        <w:tc>
          <w:tcPr>
            <w:tcW w:w="221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hAnsi="微软雅黑" w:eastAsia="仿宋_GB2312" w:cs="仿宋_GB2312"/>
                <w:i w:val="0"/>
                <w:caps w:val="0"/>
                <w:color w:val="000000"/>
                <w:spacing w:val="0"/>
                <w:sz w:val="21"/>
                <w:szCs w:val="21"/>
                <w:lang w:val="en-US" w:eastAsia="zh-CN"/>
              </w:rPr>
              <w:t>0</w:t>
            </w:r>
          </w:p>
        </w:tc>
        <w:tc>
          <w:tcPr>
            <w:tcW w:w="221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hAnsi="微软雅黑" w:eastAsia="仿宋_GB2312" w:cs="仿宋_GB2312"/>
                <w:i w:val="0"/>
                <w:caps w:val="0"/>
                <w:color w:val="000000"/>
                <w:spacing w:val="0"/>
                <w:sz w:val="21"/>
                <w:szCs w:val="21"/>
                <w:lang w:val="en-US" w:eastAsia="zh-CN"/>
              </w:rPr>
              <w:t>0</w:t>
            </w:r>
          </w:p>
        </w:tc>
        <w:tc>
          <w:tcPr>
            <w:tcW w:w="276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hAnsi="微软雅黑" w:eastAsia="仿宋_GB2312" w:cs="仿宋_GB2312"/>
                <w:i w:val="0"/>
                <w:caps w:val="0"/>
                <w:color w:val="000000"/>
                <w:spacing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2" w:hRule="atLeast"/>
        </w:trPr>
        <w:tc>
          <w:tcPr>
            <w:tcW w:w="9409" w:type="dxa"/>
            <w:gridSpan w:val="4"/>
            <w:tcBorders>
              <w:top w:val="nil"/>
              <w:left w:val="single" w:color="auto" w:sz="8" w:space="0"/>
              <w:bottom w:val="single" w:color="auto" w:sz="8" w:space="0"/>
              <w:right w:val="single" w:color="000000" w:sz="8" w:space="0"/>
            </w:tcBorders>
            <w:shd w:val="clear" w:color="auto" w:fill="C6D9F1"/>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caps w:val="0"/>
                <w:color w:val="000000"/>
                <w:spacing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信息内容</w:t>
            </w:r>
          </w:p>
        </w:tc>
        <w:tc>
          <w:tcPr>
            <w:tcW w:w="7194" w:type="dxa"/>
            <w:gridSpan w:val="3"/>
            <w:tcBorders>
              <w:top w:val="single" w:color="auto" w:sz="8" w:space="0"/>
              <w:left w:val="nil"/>
              <w:bottom w:val="single" w:color="auto" w:sz="8" w:space="0"/>
              <w:right w:val="single" w:color="000000"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行政许可</w:t>
            </w:r>
          </w:p>
        </w:tc>
        <w:tc>
          <w:tcPr>
            <w:tcW w:w="7194" w:type="dxa"/>
            <w:gridSpan w:val="3"/>
            <w:tcBorders>
              <w:top w:val="nil"/>
              <w:left w:val="nil"/>
              <w:bottom w:val="single" w:color="auto" w:sz="8" w:space="0"/>
              <w:right w:val="single" w:color="000000"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ascii="仿宋_GB2312" w:hAnsi="微软雅黑" w:eastAsia="仿宋_GB2312" w:cs="仿宋_GB2312"/>
                <w:i w:val="0"/>
                <w:caps w:val="0"/>
                <w:color w:val="000000"/>
                <w:spacing w:val="0"/>
                <w:sz w:val="21"/>
                <w:szCs w:val="21"/>
                <w:lang w:val="en-US" w:eastAsia="zh-CN"/>
              </w:rPr>
              <w:t>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9409" w:type="dxa"/>
            <w:gridSpan w:val="4"/>
            <w:tcBorders>
              <w:top w:val="nil"/>
              <w:left w:val="single" w:color="auto" w:sz="8" w:space="0"/>
              <w:bottom w:val="single" w:color="auto" w:sz="8" w:space="0"/>
              <w:right w:val="single" w:color="000000" w:sz="8" w:space="0"/>
            </w:tcBorders>
            <w:shd w:val="clear" w:color="auto" w:fill="C6D9F1"/>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caps w:val="0"/>
                <w:color w:val="000000"/>
                <w:spacing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信息内容</w:t>
            </w:r>
          </w:p>
        </w:tc>
        <w:tc>
          <w:tcPr>
            <w:tcW w:w="7194" w:type="dxa"/>
            <w:gridSpan w:val="3"/>
            <w:tcBorders>
              <w:top w:val="single" w:color="auto" w:sz="8" w:space="0"/>
              <w:left w:val="nil"/>
              <w:bottom w:val="single" w:color="auto" w:sz="8" w:space="0"/>
              <w:right w:val="single" w:color="000000"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行政处罚</w:t>
            </w:r>
          </w:p>
        </w:tc>
        <w:tc>
          <w:tcPr>
            <w:tcW w:w="7194" w:type="dxa"/>
            <w:gridSpan w:val="3"/>
            <w:tcBorders>
              <w:top w:val="nil"/>
              <w:left w:val="nil"/>
              <w:bottom w:val="single" w:color="auto" w:sz="8" w:space="0"/>
              <w:right w:val="single" w:color="000000"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ascii="仿宋_GB2312" w:hAnsi="微软雅黑" w:eastAsia="仿宋_GB2312" w:cs="仿宋_GB2312"/>
                <w:i w:val="0"/>
                <w:caps w:val="0"/>
                <w:color w:val="000000"/>
                <w:spacing w:val="0"/>
                <w:sz w:val="21"/>
                <w:szCs w:val="21"/>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行政强制</w:t>
            </w:r>
          </w:p>
        </w:tc>
        <w:tc>
          <w:tcPr>
            <w:tcW w:w="7194" w:type="dxa"/>
            <w:gridSpan w:val="3"/>
            <w:tcBorders>
              <w:top w:val="nil"/>
              <w:left w:val="nil"/>
              <w:bottom w:val="single" w:color="auto" w:sz="8" w:space="0"/>
              <w:right w:val="single" w:color="000000"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hAnsi="微软雅黑" w:eastAsia="仿宋_GB2312" w:cs="仿宋_GB2312"/>
                <w:i w:val="0"/>
                <w:caps w:val="0"/>
                <w:color w:val="000000"/>
                <w:spacing w:val="0"/>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rPr>
        <w:tc>
          <w:tcPr>
            <w:tcW w:w="9409" w:type="dxa"/>
            <w:gridSpan w:val="4"/>
            <w:tcBorders>
              <w:top w:val="nil"/>
              <w:left w:val="single" w:color="auto" w:sz="8" w:space="0"/>
              <w:bottom w:val="single" w:color="auto" w:sz="8" w:space="0"/>
              <w:right w:val="single" w:color="000000" w:sz="8" w:space="0"/>
            </w:tcBorders>
            <w:shd w:val="clear" w:color="auto" w:fill="C6D9F1"/>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caps w:val="0"/>
                <w:color w:val="000000"/>
                <w:spacing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信息内容</w:t>
            </w:r>
          </w:p>
        </w:tc>
        <w:tc>
          <w:tcPr>
            <w:tcW w:w="7194" w:type="dxa"/>
            <w:gridSpan w:val="3"/>
            <w:tcBorders>
              <w:top w:val="single" w:color="auto" w:sz="8" w:space="0"/>
              <w:left w:val="nil"/>
              <w:bottom w:val="single" w:color="auto" w:sz="8" w:space="0"/>
              <w:right w:val="single" w:color="000000"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2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caps w:val="0"/>
                <w:color w:val="000000"/>
                <w:spacing w:val="0"/>
                <w:sz w:val="21"/>
                <w:szCs w:val="21"/>
              </w:rPr>
              <w:t>行政事业性收费</w:t>
            </w:r>
          </w:p>
        </w:tc>
        <w:tc>
          <w:tcPr>
            <w:tcW w:w="7194" w:type="dxa"/>
            <w:gridSpan w:val="3"/>
            <w:tcBorders>
              <w:top w:val="nil"/>
              <w:left w:val="nil"/>
              <w:bottom w:val="single" w:color="auto" w:sz="8" w:space="0"/>
              <w:right w:val="single" w:color="000000"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ascii="仿宋_GB2312" w:hAnsi="微软雅黑" w:eastAsia="仿宋_GB2312" w:cs="仿宋_GB2312"/>
                <w:i w:val="0"/>
                <w:caps w:val="0"/>
                <w:color w:val="000000"/>
                <w:spacing w:val="0"/>
                <w:sz w:val="21"/>
                <w:szCs w:val="21"/>
                <w:lang w:val="en-US" w:eastAsia="zh-CN"/>
              </w:rPr>
              <w:t>561.922</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 w:lineRule="atLeast"/>
        <w:ind w:left="0" w:right="0" w:firstLine="640" w:firstLineChars="200"/>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color="auto" w:fill="FFFFFF"/>
        </w:rPr>
        <w:t>三、收到和处理政府信息公开申请情况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6"/>
        <w:gridCol w:w="1660"/>
        <w:gridCol w:w="2864"/>
        <w:gridCol w:w="454"/>
        <w:gridCol w:w="624"/>
        <w:gridCol w:w="457"/>
        <w:gridCol w:w="638"/>
        <w:gridCol w:w="704"/>
        <w:gridCol w:w="392"/>
        <w:gridCol w:w="5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516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楷体_GB2312" w:eastAsia="楷体_GB2312" w:cs="楷体_GB2312"/>
                <w:sz w:val="21"/>
                <w:szCs w:val="21"/>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楷体_GB2312" w:eastAsia="楷体_GB2312" w:cs="楷体_GB2312"/>
                <w:sz w:val="21"/>
                <w:szCs w:val="21"/>
              </w:rPr>
              <w:t>等于第三项加第四项之和）</w:t>
            </w:r>
          </w:p>
        </w:tc>
        <w:tc>
          <w:tcPr>
            <w:tcW w:w="3810"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16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45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rPr>
              <w:t>自然人</w:t>
            </w:r>
          </w:p>
        </w:tc>
        <w:tc>
          <w:tcPr>
            <w:tcW w:w="28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rPr>
              <w:t>法人或其他组织</w:t>
            </w:r>
          </w:p>
        </w:tc>
        <w:tc>
          <w:tcPr>
            <w:tcW w:w="54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2" w:hRule="atLeast"/>
          <w:jc w:val="center"/>
        </w:trPr>
        <w:tc>
          <w:tcPr>
            <w:tcW w:w="516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4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 w:right="-107" w:hanging="1"/>
              <w:jc w:val="center"/>
              <w:rPr>
                <w:sz w:val="24"/>
                <w:szCs w:val="24"/>
              </w:rPr>
            </w:pPr>
            <w:r>
              <w:rPr>
                <w:rFonts w:hint="eastAsia" w:ascii="黑体" w:hAnsi="宋体" w:eastAsia="黑体" w:cs="黑体"/>
                <w:sz w:val="21"/>
                <w:szCs w:val="21"/>
              </w:rPr>
              <w:t>商业企业</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107"/>
              <w:jc w:val="center"/>
              <w:rPr>
                <w:sz w:val="24"/>
                <w:szCs w:val="24"/>
              </w:rPr>
            </w:pPr>
            <w:r>
              <w:rPr>
                <w:rFonts w:hint="eastAsia" w:ascii="黑体" w:hAnsi="宋体" w:eastAsia="黑体" w:cs="黑体"/>
                <w:sz w:val="21"/>
                <w:szCs w:val="21"/>
              </w:rPr>
              <w:t>科研机构</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107"/>
              <w:jc w:val="center"/>
              <w:rPr>
                <w:sz w:val="24"/>
                <w:szCs w:val="24"/>
              </w:rPr>
            </w:pPr>
            <w:r>
              <w:rPr>
                <w:rFonts w:hint="eastAsia" w:ascii="黑体" w:hAnsi="宋体" w:eastAsia="黑体" w:cs="黑体"/>
                <w:sz w:val="21"/>
                <w:szCs w:val="21"/>
              </w:rPr>
              <w:t>社会公益组织</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 w:right="-107" w:hanging="1"/>
              <w:jc w:val="center"/>
              <w:rPr>
                <w:sz w:val="24"/>
                <w:szCs w:val="24"/>
              </w:rPr>
            </w:pPr>
            <w:r>
              <w:rPr>
                <w:rFonts w:hint="eastAsia" w:ascii="黑体" w:hAnsi="宋体" w:eastAsia="黑体" w:cs="黑体"/>
                <w:sz w:val="21"/>
                <w:szCs w:val="21"/>
              </w:rPr>
              <w:t>法律服务机构</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134"/>
              <w:jc w:val="center"/>
              <w:rPr>
                <w:sz w:val="24"/>
                <w:szCs w:val="24"/>
              </w:rPr>
            </w:pPr>
            <w:r>
              <w:rPr>
                <w:rFonts w:hint="eastAsia" w:ascii="黑体" w:hAnsi="宋体" w:eastAsia="黑体" w:cs="黑体"/>
                <w:sz w:val="21"/>
                <w:szCs w:val="21"/>
              </w:rPr>
              <w:t>其他</w:t>
            </w:r>
          </w:p>
        </w:tc>
        <w:tc>
          <w:tcPr>
            <w:tcW w:w="54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160"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一、本年新收政府信息公开申请数量</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ascii="仿宋_GB2312" w:eastAsia="仿宋_GB2312" w:cs="仿宋_GB2312"/>
                <w:sz w:val="21"/>
                <w:szCs w:val="21"/>
                <w:lang w:val="en-US" w:eastAsia="zh-CN"/>
              </w:rPr>
              <w:t>17</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ascii="仿宋_GB2312" w:eastAsia="仿宋_GB2312" w:cs="仿宋_GB2312"/>
                <w:sz w:val="21"/>
                <w:szCs w:val="21"/>
                <w:lang w:val="en-US" w:eastAsia="zh-CN"/>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160"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二、上年结转政府信息公开申请数量</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1</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eastAsia" w:ascii="黑体" w:hAnsi="宋体" w:eastAsia="黑体" w:cs="黑体"/>
                <w:sz w:val="21"/>
                <w:szCs w:val="21"/>
              </w:rPr>
              <w:t>三、本年度办理结果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eastAsia" w:ascii="黑体" w:hAnsi="宋体" w:eastAsia="黑体" w:cs="黑体"/>
                <w:sz w:val="21"/>
                <w:szCs w:val="21"/>
              </w:rPr>
              <w:t> </w:t>
            </w:r>
          </w:p>
        </w:tc>
        <w:tc>
          <w:tcPr>
            <w:tcW w:w="4524"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（一）予以公开</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6</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4524"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（二）部分公开（区分处理的，只计这一情形，不计其他情形）</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rPr>
              <w:t>（三）不予公开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rPr>
              <w:t> </w:t>
            </w: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1.属于国家秘密</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2.其他法律行政法规禁止公开</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3.危及“三安全一稳定”</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4.保护第三方合法权益</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2</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5.属于三类内部事务信息</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6.属于四类过程性信息</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7.属于行政执法案卷</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8.属于行政查询事项</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1</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rPr>
              <w:t>（四）无法提供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rPr>
              <w:t> </w:t>
            </w: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1.本机关不掌握相关政府信息</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7</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2.没有现成信息需要另行制作</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3.补正后申请内容仍不明确</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rPr>
              <w:t>（五）不予处理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rPr>
              <w:t> </w:t>
            </w: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1.信访举报投诉类申请</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63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三、本年度办理结果</w:t>
            </w:r>
          </w:p>
        </w:tc>
        <w:tc>
          <w:tcPr>
            <w:tcW w:w="166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rPr>
              <w:t>（五）不予处理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 </w:t>
            </w: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2.重复申请</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3.要求提供公开出版物</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4.无正当理由大量反复申请</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sz w:val="24"/>
                <w:szCs w:val="24"/>
              </w:rPr>
            </w:pPr>
            <w:r>
              <w:rPr>
                <w:rFonts w:hint="eastAsia" w:ascii="仿宋_GB2312" w:eastAsia="仿宋_GB2312" w:cs="仿宋_GB2312"/>
                <w:sz w:val="21"/>
                <w:szCs w:val="21"/>
              </w:rPr>
              <w:t>出具已获取信息</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（六）其他处理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 </w:t>
            </w:r>
          </w:p>
        </w:tc>
        <w:tc>
          <w:tcPr>
            <w:tcW w:w="2864" w:type="dxa"/>
            <w:tcBorders>
              <w:top w:val="single" w:color="auto" w:sz="8" w:space="0"/>
              <w:left w:val="single" w:color="auto" w:sz="8" w:space="0"/>
              <w:bottom w:val="single" w:color="auto" w:sz="8" w:space="0"/>
              <w:right w:val="single" w:color="auto" w:sz="8"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1.申请人无正当理由逾期不补正、行政机关不再处理其政府信息公开申请</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2.申请人逾期未按收费通知要求缴纳费用、行政机关不再处理其政府信息公开申请</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66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864" w:type="dxa"/>
            <w:tcBorders>
              <w:top w:val="single" w:color="auto" w:sz="8" w:space="0"/>
              <w:left w:val="single" w:color="auto" w:sz="8" w:space="0"/>
              <w:bottom w:val="single" w:color="auto" w:sz="8" w:space="0"/>
              <w:right w:val="single" w:color="auto" w:sz="8"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rPr>
              <w:t>3.其他</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2</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4524"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（七）总计</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ascii="仿宋_GB2312" w:eastAsia="仿宋_GB2312" w:cs="仿宋_GB2312"/>
                <w:sz w:val="21"/>
                <w:szCs w:val="21"/>
                <w:lang w:val="en-US" w:eastAsia="zh-CN"/>
              </w:rPr>
              <w:t>18</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ascii="仿宋_GB2312" w:eastAsia="仿宋_GB2312" w:cs="仿宋_GB2312"/>
                <w:sz w:val="21"/>
                <w:szCs w:val="21"/>
                <w:lang w:val="en-US" w:eastAsia="zh-CN"/>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0"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rPr>
              <w:t>四、结转下年度继续办理</w:t>
            </w:r>
          </w:p>
        </w:tc>
        <w:tc>
          <w:tcPr>
            <w:tcW w:w="4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c>
          <w:tcPr>
            <w:tcW w:w="62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4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6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70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3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eastAsia="仿宋_GB2312" w:cs="仿宋_GB2312"/>
                <w:sz w:val="21"/>
                <w:szCs w:val="21"/>
              </w:rPr>
              <w:t>0</w:t>
            </w:r>
          </w:p>
        </w:tc>
        <w:tc>
          <w:tcPr>
            <w:tcW w:w="5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仿宋_GB2312" w:eastAsia="仿宋_GB2312" w:cs="仿宋_GB2312"/>
                <w:sz w:val="21"/>
                <w:szCs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color="auto" w:fill="FFFFFF"/>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85"/>
        <w:gridCol w:w="585"/>
        <w:gridCol w:w="586"/>
        <w:gridCol w:w="586"/>
        <w:gridCol w:w="709"/>
        <w:gridCol w:w="542"/>
        <w:gridCol w:w="588"/>
        <w:gridCol w:w="588"/>
        <w:gridCol w:w="588"/>
        <w:gridCol w:w="681"/>
        <w:gridCol w:w="588"/>
        <w:gridCol w:w="588"/>
        <w:gridCol w:w="588"/>
        <w:gridCol w:w="588"/>
        <w:gridCol w:w="6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行政复议</w:t>
            </w:r>
          </w:p>
        </w:tc>
        <w:tc>
          <w:tcPr>
            <w:tcW w:w="6020"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58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70"/>
              <w:jc w:val="center"/>
              <w:rPr>
                <w:sz w:val="24"/>
                <w:szCs w:val="24"/>
              </w:rPr>
            </w:pPr>
            <w:r>
              <w:rPr>
                <w:rFonts w:hint="eastAsia" w:ascii="黑体" w:hAnsi="宋体" w:eastAsia="黑体" w:cs="黑体"/>
                <w:sz w:val="20"/>
                <w:szCs w:val="2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70"/>
              <w:jc w:val="center"/>
              <w:rPr>
                <w:sz w:val="24"/>
                <w:szCs w:val="24"/>
              </w:rPr>
            </w:pPr>
            <w:r>
              <w:rPr>
                <w:rFonts w:hint="eastAsia" w:ascii="黑体" w:hAnsi="宋体" w:eastAsia="黑体" w:cs="黑体"/>
                <w:sz w:val="20"/>
                <w:szCs w:val="20"/>
              </w:rPr>
              <w:t>维持</w:t>
            </w:r>
          </w:p>
        </w:tc>
        <w:tc>
          <w:tcPr>
            <w:tcW w:w="585"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 w:right="-132" w:hanging="1"/>
              <w:jc w:val="center"/>
              <w:rPr>
                <w:sz w:val="24"/>
                <w:szCs w:val="24"/>
              </w:rPr>
            </w:pPr>
            <w:r>
              <w:rPr>
                <w:rFonts w:hint="eastAsia" w:ascii="黑体" w:hAnsi="宋体" w:eastAsia="黑体" w:cs="黑体"/>
                <w:sz w:val="20"/>
                <w:szCs w:val="20"/>
              </w:rPr>
              <w:t>结果纠正</w:t>
            </w:r>
          </w:p>
        </w:tc>
        <w:tc>
          <w:tcPr>
            <w:tcW w:w="58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2" w:right="-97"/>
              <w:jc w:val="center"/>
              <w:rPr>
                <w:sz w:val="24"/>
                <w:szCs w:val="24"/>
              </w:rPr>
            </w:pPr>
            <w:r>
              <w:rPr>
                <w:rFonts w:hint="eastAsia" w:ascii="黑体" w:hAnsi="宋体" w:eastAsia="黑体" w:cs="黑体"/>
                <w:sz w:val="20"/>
                <w:szCs w:val="20"/>
              </w:rPr>
              <w:t>其他结果</w:t>
            </w:r>
          </w:p>
        </w:tc>
        <w:tc>
          <w:tcPr>
            <w:tcW w:w="58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118"/>
              <w:jc w:val="center"/>
              <w:rPr>
                <w:sz w:val="24"/>
                <w:szCs w:val="24"/>
              </w:rPr>
            </w:pPr>
            <w:r>
              <w:rPr>
                <w:rFonts w:hint="eastAsia" w:ascii="黑体" w:hAnsi="宋体" w:eastAsia="黑体" w:cs="黑体"/>
                <w:sz w:val="20"/>
                <w:szCs w:val="2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118"/>
              <w:jc w:val="center"/>
              <w:rPr>
                <w:sz w:val="24"/>
                <w:szCs w:val="24"/>
              </w:rPr>
            </w:pPr>
            <w:r>
              <w:rPr>
                <w:rFonts w:hint="eastAsia" w:ascii="黑体" w:hAnsi="宋体" w:eastAsia="黑体" w:cs="黑体"/>
                <w:sz w:val="20"/>
                <w:szCs w:val="20"/>
              </w:rPr>
              <w:t>审结</w:t>
            </w:r>
          </w:p>
        </w:tc>
        <w:tc>
          <w:tcPr>
            <w:tcW w:w="70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计</w:t>
            </w:r>
          </w:p>
        </w:tc>
        <w:tc>
          <w:tcPr>
            <w:tcW w:w="29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未经复议直接起诉</w:t>
            </w:r>
          </w:p>
        </w:tc>
        <w:tc>
          <w:tcPr>
            <w:tcW w:w="303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58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8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8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42"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26"/>
              <w:jc w:val="center"/>
              <w:rPr>
                <w:sz w:val="24"/>
                <w:szCs w:val="24"/>
              </w:rPr>
            </w:pPr>
            <w:r>
              <w:rPr>
                <w:rFonts w:hint="eastAsia" w:ascii="黑体" w:hAnsi="宋体" w:eastAsia="黑体" w:cs="黑体"/>
                <w:sz w:val="20"/>
                <w:szCs w:val="20"/>
              </w:rPr>
              <w:t>结果维持</w:t>
            </w:r>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88"/>
              <w:jc w:val="center"/>
              <w:rPr>
                <w:sz w:val="24"/>
                <w:szCs w:val="24"/>
              </w:rPr>
            </w:pPr>
            <w:r>
              <w:rPr>
                <w:rFonts w:hint="eastAsia" w:ascii="黑体" w:hAnsi="宋体" w:eastAsia="黑体" w:cs="黑体"/>
                <w:sz w:val="20"/>
                <w:szCs w:val="20"/>
              </w:rPr>
              <w:t>结果纠正</w:t>
            </w:r>
          </w:p>
        </w:tc>
        <w:tc>
          <w:tcPr>
            <w:tcW w:w="58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 w:right="-136"/>
              <w:jc w:val="center"/>
              <w:rPr>
                <w:sz w:val="24"/>
                <w:szCs w:val="24"/>
              </w:rPr>
            </w:pPr>
            <w:r>
              <w:rPr>
                <w:rFonts w:hint="eastAsia" w:ascii="黑体" w:hAnsi="宋体" w:eastAsia="黑体" w:cs="黑体"/>
                <w:sz w:val="20"/>
                <w:szCs w:val="2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 w:right="-136"/>
              <w:jc w:val="center"/>
              <w:rPr>
                <w:sz w:val="24"/>
                <w:szCs w:val="24"/>
              </w:rPr>
            </w:pPr>
            <w:r>
              <w:rPr>
                <w:rFonts w:hint="eastAsia" w:ascii="黑体" w:hAnsi="宋体" w:eastAsia="黑体" w:cs="黑体"/>
                <w:sz w:val="20"/>
                <w:szCs w:val="20"/>
              </w:rPr>
              <w:t>结果</w:t>
            </w:r>
          </w:p>
        </w:tc>
        <w:tc>
          <w:tcPr>
            <w:tcW w:w="58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153"/>
              <w:jc w:val="center"/>
              <w:rPr>
                <w:sz w:val="24"/>
                <w:szCs w:val="24"/>
              </w:rPr>
            </w:pPr>
            <w:r>
              <w:rPr>
                <w:rFonts w:hint="eastAsia" w:ascii="黑体" w:hAnsi="宋体" w:eastAsia="黑体" w:cs="黑体"/>
                <w:sz w:val="20"/>
                <w:szCs w:val="2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153"/>
              <w:jc w:val="center"/>
              <w:rPr>
                <w:sz w:val="24"/>
                <w:szCs w:val="24"/>
              </w:rPr>
            </w:pPr>
            <w:r>
              <w:rPr>
                <w:rFonts w:hint="eastAsia" w:ascii="黑体" w:hAnsi="宋体" w:eastAsia="黑体" w:cs="黑体"/>
                <w:sz w:val="20"/>
                <w:szCs w:val="20"/>
              </w:rPr>
              <w:t>审结</w:t>
            </w:r>
          </w:p>
        </w:tc>
        <w:tc>
          <w:tcPr>
            <w:tcW w:w="681"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总计</w:t>
            </w:r>
          </w:p>
        </w:tc>
        <w:tc>
          <w:tcPr>
            <w:tcW w:w="58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78"/>
              <w:jc w:val="center"/>
              <w:rPr>
                <w:sz w:val="24"/>
                <w:szCs w:val="24"/>
              </w:rPr>
            </w:pPr>
            <w:r>
              <w:rPr>
                <w:rFonts w:hint="eastAsia" w:ascii="黑体" w:hAnsi="宋体" w:eastAsia="黑体" w:cs="黑体"/>
                <w:sz w:val="20"/>
                <w:szCs w:val="20"/>
              </w:rPr>
              <w:t>结果维持</w:t>
            </w:r>
          </w:p>
        </w:tc>
        <w:tc>
          <w:tcPr>
            <w:tcW w:w="58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 w:right="-124"/>
              <w:jc w:val="center"/>
              <w:rPr>
                <w:sz w:val="24"/>
                <w:szCs w:val="24"/>
              </w:rPr>
            </w:pPr>
            <w:r>
              <w:rPr>
                <w:rFonts w:hint="eastAsia" w:ascii="黑体" w:hAnsi="宋体" w:eastAsia="黑体" w:cs="黑体"/>
                <w:sz w:val="20"/>
                <w:szCs w:val="2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 w:right="-124"/>
              <w:jc w:val="center"/>
              <w:rPr>
                <w:sz w:val="24"/>
                <w:szCs w:val="24"/>
              </w:rPr>
            </w:pPr>
            <w:r>
              <w:rPr>
                <w:rFonts w:hint="eastAsia" w:ascii="黑体" w:hAnsi="宋体" w:eastAsia="黑体" w:cs="黑体"/>
                <w:sz w:val="20"/>
                <w:szCs w:val="20"/>
              </w:rPr>
              <w:t>纠正</w:t>
            </w:r>
          </w:p>
        </w:tc>
        <w:tc>
          <w:tcPr>
            <w:tcW w:w="58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3" w:right="-134" w:hanging="1"/>
              <w:jc w:val="center"/>
              <w:rPr>
                <w:sz w:val="24"/>
                <w:szCs w:val="24"/>
              </w:rPr>
            </w:pPr>
            <w:r>
              <w:rPr>
                <w:rFonts w:hint="eastAsia" w:ascii="黑体" w:hAnsi="宋体" w:eastAsia="黑体" w:cs="黑体"/>
                <w:sz w:val="20"/>
                <w:szCs w:val="2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3" w:right="-134" w:hanging="1"/>
              <w:jc w:val="center"/>
              <w:rPr>
                <w:sz w:val="24"/>
                <w:szCs w:val="24"/>
              </w:rPr>
            </w:pPr>
            <w:r>
              <w:rPr>
                <w:rFonts w:hint="eastAsia" w:ascii="黑体" w:hAnsi="宋体" w:eastAsia="黑体" w:cs="黑体"/>
                <w:sz w:val="20"/>
                <w:szCs w:val="20"/>
              </w:rPr>
              <w:t>结果</w:t>
            </w:r>
          </w:p>
        </w:tc>
        <w:tc>
          <w:tcPr>
            <w:tcW w:w="58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7" w:right="-105" w:hanging="2"/>
              <w:jc w:val="center"/>
              <w:rPr>
                <w:sz w:val="24"/>
                <w:szCs w:val="24"/>
              </w:rPr>
            </w:pPr>
            <w:r>
              <w:rPr>
                <w:rFonts w:hint="eastAsia" w:ascii="黑体" w:hAnsi="宋体" w:eastAsia="黑体" w:cs="黑体"/>
                <w:sz w:val="20"/>
                <w:szCs w:val="20"/>
              </w:rPr>
              <w:t>尚未审结</w:t>
            </w:r>
          </w:p>
        </w:tc>
        <w:tc>
          <w:tcPr>
            <w:tcW w:w="681"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0</w:t>
            </w:r>
          </w:p>
        </w:tc>
        <w:tc>
          <w:tcPr>
            <w:tcW w:w="58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宋体" w:cs="Times New Roman"/>
                <w:sz w:val="21"/>
                <w:szCs w:val="21"/>
              </w:rPr>
              <w:t>0</w:t>
            </w:r>
          </w:p>
        </w:tc>
        <w:tc>
          <w:tcPr>
            <w:tcW w:w="58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宋体" w:cs="Times New Roman"/>
                <w:sz w:val="21"/>
                <w:szCs w:val="21"/>
              </w:rPr>
              <w:t>0</w:t>
            </w:r>
          </w:p>
        </w:tc>
        <w:tc>
          <w:tcPr>
            <w:tcW w:w="58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0</w:t>
            </w:r>
          </w:p>
        </w:tc>
        <w:tc>
          <w:tcPr>
            <w:tcW w:w="542"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宋体" w:cs="Times New Roman"/>
                <w:sz w:val="21"/>
                <w:szCs w:val="21"/>
              </w:rPr>
              <w:t>0</w:t>
            </w:r>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1</w:t>
            </w:r>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宋体" w:cs="Times New Roman"/>
                <w:sz w:val="21"/>
                <w:szCs w:val="21"/>
              </w:rPr>
              <w:t>0</w:t>
            </w:r>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1</w:t>
            </w:r>
          </w:p>
        </w:tc>
        <w:tc>
          <w:tcPr>
            <w:tcW w:w="681"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2</w:t>
            </w:r>
            <w:bookmarkStart w:id="0" w:name="_GoBack"/>
            <w:bookmarkEnd w:id="0"/>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0</w:t>
            </w:r>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宋体" w:cs="Times New Roman"/>
                <w:sz w:val="21"/>
                <w:szCs w:val="21"/>
              </w:rPr>
              <w:t>0</w:t>
            </w:r>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0</w:t>
            </w:r>
          </w:p>
        </w:tc>
        <w:tc>
          <w:tcPr>
            <w:tcW w:w="58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eastAsia="宋体" w:cs="Times New Roman"/>
                <w:sz w:val="21"/>
                <w:szCs w:val="21"/>
              </w:rPr>
              <w:t>0</w:t>
            </w:r>
          </w:p>
        </w:tc>
        <w:tc>
          <w:tcPr>
            <w:tcW w:w="681"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eastAsia="zh-CN"/>
              </w:rPr>
            </w:pPr>
            <w:r>
              <w:rPr>
                <w:rFonts w:hint="eastAsia" w:ascii="Times New Roman" w:hAnsi="Times New Roman" w:cs="Times New Roman"/>
                <w:sz w:val="21"/>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638" w:right="0" w:firstLine="0"/>
        <w:jc w:val="left"/>
        <w:rPr>
          <w:rFonts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32"/>
          <w:szCs w:val="32"/>
          <w:shd w:val="clear" w:color="auto"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640"/>
        <w:jc w:val="left"/>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color="auto" w:fill="FFFFFF"/>
        </w:rPr>
        <w:t>2022年，政府信息公开工作虽然取得了一定成效，但还存在以下问题：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 w:lineRule="atLeast"/>
        <w:ind w:left="0" w:right="0" w:firstLine="641"/>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rPr>
        <w:t>一是</w:t>
      </w:r>
      <w:r>
        <w:rPr>
          <w:rFonts w:hint="eastAsia" w:ascii="仿宋_GB2312" w:hAnsi="仿宋_GB2312" w:eastAsia="仿宋_GB2312" w:cs="仿宋_GB2312"/>
          <w:i w:val="0"/>
          <w:caps w:val="0"/>
          <w:color w:val="000000"/>
          <w:spacing w:val="0"/>
          <w:sz w:val="32"/>
          <w:szCs w:val="32"/>
          <w:shd w:val="clear" w:color="auto" w:fill="FFFFFF"/>
          <w:lang w:val="en-US" w:eastAsia="zh-CN"/>
        </w:rPr>
        <w:t>部分</w:t>
      </w:r>
      <w:r>
        <w:rPr>
          <w:rFonts w:hint="eastAsia" w:ascii="仿宋_GB2312" w:hAnsi="仿宋_GB2312" w:eastAsia="仿宋_GB2312" w:cs="仿宋_GB2312"/>
          <w:i w:val="0"/>
          <w:caps w:val="0"/>
          <w:color w:val="000000"/>
          <w:spacing w:val="0"/>
          <w:sz w:val="32"/>
          <w:szCs w:val="32"/>
          <w:shd w:val="clear" w:color="auto" w:fill="FFFFFF"/>
        </w:rPr>
        <w:t>部门</w:t>
      </w:r>
      <w:r>
        <w:rPr>
          <w:rFonts w:hint="eastAsia" w:ascii="仿宋_GB2312" w:hAnsi="仿宋_GB2312" w:eastAsia="仿宋_GB2312" w:cs="仿宋_GB2312"/>
          <w:i w:val="0"/>
          <w:caps w:val="0"/>
          <w:color w:val="000000"/>
          <w:spacing w:val="0"/>
          <w:sz w:val="32"/>
          <w:szCs w:val="32"/>
          <w:shd w:val="clear" w:color="auto" w:fill="FFFFFF"/>
          <w:lang w:val="en-US" w:eastAsia="zh-CN"/>
        </w:rPr>
        <w:t>对公文公开属性源头认定工作不重视，对以管委会、管委会办公室名义的发文，仅仅依靠区政务公开办审核，未从源头上明确。二是政务公开工作考核工作有待加强，部分部门主动公开的积极性不高。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 w:lineRule="atLeast"/>
        <w:ind w:left="0" w:right="0" w:firstLine="641"/>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改进措施：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 w:lineRule="atLeast"/>
        <w:ind w:left="0" w:right="0" w:firstLine="641"/>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一是完善政府公文公开属性源头认定工作机制，确保政府信息公开工作依法、有序进行。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 w:lineRule="atLeast"/>
        <w:ind w:left="0" w:right="0" w:firstLine="641"/>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二是加大政务公开工作人员的培训，对其进行全面指导和培训，不断提高相关人员专业技能。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 w:lineRule="atLeast"/>
        <w:ind w:left="0" w:right="0" w:firstLine="641"/>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三是细化完善政务公开通报机制，督查问题整改情况，将整改情况纳入全区政务公开考核，以通报倒逼提速以督查倒逼提效。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 w:lineRule="atLeast"/>
        <w:ind w:left="0" w:right="0" w:firstLine="640" w:firstLineChars="200"/>
        <w:jc w:val="left"/>
        <w:textAlignment w:val="auto"/>
        <w:rPr>
          <w:rFonts w:hint="eastAsia" w:ascii="微软雅黑" w:hAnsi="微软雅黑" w:eastAsia="微软雅黑" w:cs="微软雅黑"/>
          <w:b w:val="0"/>
          <w:bCs/>
          <w:i w:val="0"/>
          <w:caps w:val="0"/>
          <w:color w:val="000000"/>
          <w:spacing w:val="0"/>
          <w:sz w:val="27"/>
          <w:szCs w:val="27"/>
        </w:rPr>
      </w:pPr>
      <w:r>
        <w:rPr>
          <w:rStyle w:val="6"/>
          <w:rFonts w:hint="eastAsia" w:ascii="黑体" w:hAnsi="宋体" w:eastAsia="黑体" w:cs="黑体"/>
          <w:b w:val="0"/>
          <w:bCs/>
          <w:i w:val="0"/>
          <w:caps w:val="0"/>
          <w:color w:val="000000"/>
          <w:spacing w:val="0"/>
          <w:sz w:val="32"/>
          <w:szCs w:val="32"/>
          <w:shd w:val="clear" w:color="auto"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shd w:val="clear" w:color="auto" w:fill="FFFFFF"/>
        </w:rPr>
        <w:t> </w:t>
      </w:r>
      <w:r>
        <w:rPr>
          <w:rFonts w:hint="default" w:ascii="Times New Roman" w:hAnsi="Times New Roman" w:eastAsia="微软雅黑" w:cs="Times New Roman"/>
          <w:i w:val="0"/>
          <w:caps w:val="0"/>
          <w:color w:val="000000"/>
          <w:spacing w:val="0"/>
          <w:sz w:val="32"/>
          <w:szCs w:val="32"/>
          <w:shd w:val="clear" w:color="auto" w:fill="FFFFFF"/>
        </w:rPr>
        <w:t>1</w:t>
      </w:r>
      <w:r>
        <w:rPr>
          <w:rFonts w:ascii="楷体" w:hAnsi="楷体" w:eastAsia="楷体" w:cs="楷体"/>
          <w:i w:val="0"/>
          <w:caps w:val="0"/>
          <w:color w:val="000000"/>
          <w:spacing w:val="0"/>
          <w:sz w:val="32"/>
          <w:szCs w:val="32"/>
          <w:shd w:val="clear" w:color="auto" w:fill="FFFFFF"/>
        </w:rPr>
        <w:t>、</w:t>
      </w:r>
      <w:r>
        <w:rPr>
          <w:rFonts w:hint="eastAsia" w:ascii="楷体" w:hAnsi="楷体" w:eastAsia="楷体" w:cs="楷体"/>
          <w:i w:val="0"/>
          <w:caps w:val="0"/>
          <w:color w:val="000000"/>
          <w:spacing w:val="0"/>
          <w:sz w:val="32"/>
          <w:szCs w:val="32"/>
          <w:shd w:val="clear" w:color="auto" w:fill="FFFFFF"/>
        </w:rPr>
        <w:t>收取信息处理费情况</w:t>
      </w:r>
      <w:r>
        <w:rPr>
          <w:rFonts w:hint="eastAsia" w:ascii="仿宋_GB2312" w:hAnsi="微软雅黑" w:eastAsia="仿宋_GB2312" w:cs="仿宋_GB2312"/>
          <w:i w:val="0"/>
          <w:caps w:val="0"/>
          <w:color w:val="000000"/>
          <w:spacing w:val="0"/>
          <w:sz w:val="32"/>
          <w:szCs w:val="32"/>
          <w:shd w:val="clear" w:color="auto" w:fill="FFFFFF"/>
        </w:rPr>
        <w:t>。按照《国务院办公厅关于印发</w:t>
      </w:r>
      <w:r>
        <w:rPr>
          <w:rFonts w:hint="default" w:ascii="Times New Roman" w:hAnsi="Times New Roman" w:eastAsia="微软雅黑" w:cs="Times New Roman"/>
          <w:i w:val="0"/>
          <w:caps w:val="0"/>
          <w:color w:val="000000"/>
          <w:spacing w:val="0"/>
          <w:sz w:val="32"/>
          <w:szCs w:val="32"/>
          <w:shd w:val="clear" w:color="auto" w:fill="FFFFFF"/>
        </w:rPr>
        <w:t>&lt;</w:t>
      </w:r>
      <w:r>
        <w:rPr>
          <w:rFonts w:hint="eastAsia" w:ascii="仿宋_GB2312" w:hAnsi="微软雅黑" w:eastAsia="仿宋_GB2312" w:cs="仿宋_GB2312"/>
          <w:i w:val="0"/>
          <w:caps w:val="0"/>
          <w:color w:val="000000"/>
          <w:spacing w:val="0"/>
          <w:sz w:val="32"/>
          <w:szCs w:val="32"/>
          <w:shd w:val="clear" w:color="auto" w:fill="FFFFFF"/>
        </w:rPr>
        <w:t>政府信息公开信息处理费管理办法</w:t>
      </w:r>
      <w:r>
        <w:rPr>
          <w:rFonts w:hint="default" w:ascii="Times New Roman" w:hAnsi="Times New Roman" w:eastAsia="微软雅黑" w:cs="Times New Roman"/>
          <w:i w:val="0"/>
          <w:caps w:val="0"/>
          <w:color w:val="000000"/>
          <w:spacing w:val="0"/>
          <w:sz w:val="32"/>
          <w:szCs w:val="32"/>
          <w:shd w:val="clear" w:color="auto" w:fill="FFFFFF"/>
        </w:rPr>
        <w:t>&gt;</w:t>
      </w:r>
      <w:r>
        <w:rPr>
          <w:rFonts w:hint="eastAsia" w:ascii="仿宋_GB2312" w:hAnsi="微软雅黑" w:eastAsia="仿宋_GB2312" w:cs="仿宋_GB2312"/>
          <w:i w:val="0"/>
          <w:caps w:val="0"/>
          <w:color w:val="000000"/>
          <w:spacing w:val="0"/>
          <w:sz w:val="32"/>
          <w:szCs w:val="32"/>
          <w:shd w:val="clear" w:color="auto" w:fill="FFFFFF"/>
        </w:rPr>
        <w:t>的通知》（国办函〔</w:t>
      </w:r>
      <w:r>
        <w:rPr>
          <w:rFonts w:hint="default" w:ascii="Times New Roman" w:hAnsi="Times New Roman" w:eastAsia="微软雅黑" w:cs="Times New Roman"/>
          <w:i w:val="0"/>
          <w:caps w:val="0"/>
          <w:color w:val="000000"/>
          <w:spacing w:val="0"/>
          <w:sz w:val="32"/>
          <w:szCs w:val="32"/>
          <w:shd w:val="clear" w:color="auto" w:fill="FFFFFF"/>
        </w:rPr>
        <w:t>2020</w:t>
      </w:r>
      <w:r>
        <w:rPr>
          <w:rFonts w:hint="eastAsia" w:ascii="仿宋_GB2312" w:hAnsi="微软雅黑" w:eastAsia="仿宋_GB2312" w:cs="仿宋_GB2312"/>
          <w:i w:val="0"/>
          <w:caps w:val="0"/>
          <w:color w:val="000000"/>
          <w:spacing w:val="0"/>
          <w:sz w:val="32"/>
          <w:szCs w:val="32"/>
          <w:shd w:val="clear" w:color="auto" w:fill="FFFFFF"/>
        </w:rPr>
        <w:t>〕</w:t>
      </w:r>
      <w:r>
        <w:rPr>
          <w:rFonts w:hint="default" w:ascii="Times New Roman" w:hAnsi="Times New Roman" w:eastAsia="微软雅黑" w:cs="Times New Roman"/>
          <w:i w:val="0"/>
          <w:caps w:val="0"/>
          <w:color w:val="000000"/>
          <w:spacing w:val="0"/>
          <w:sz w:val="32"/>
          <w:szCs w:val="32"/>
          <w:shd w:val="clear" w:color="auto" w:fill="FFFFFF"/>
        </w:rPr>
        <w:t>109</w:t>
      </w:r>
      <w:r>
        <w:rPr>
          <w:rFonts w:hint="eastAsia" w:ascii="仿宋_GB2312" w:hAnsi="微软雅黑" w:eastAsia="仿宋_GB2312" w:cs="仿宋_GB2312"/>
          <w:i w:val="0"/>
          <w:caps w:val="0"/>
          <w:color w:val="000000"/>
          <w:spacing w:val="0"/>
          <w:sz w:val="32"/>
          <w:szCs w:val="32"/>
          <w:shd w:val="clear" w:color="auto" w:fill="FFFFFF"/>
        </w:rPr>
        <w:t>号）和《山东省人民政府办公厅关于做好政府信息公开信息处理费管理工作有关事项的通知》（鲁政办字〔</w:t>
      </w:r>
      <w:r>
        <w:rPr>
          <w:rFonts w:hint="default" w:ascii="Times New Roman" w:hAnsi="Times New Roman" w:eastAsia="微软雅黑" w:cs="Times New Roman"/>
          <w:i w:val="0"/>
          <w:caps w:val="0"/>
          <w:color w:val="000000"/>
          <w:spacing w:val="0"/>
          <w:sz w:val="32"/>
          <w:szCs w:val="32"/>
          <w:shd w:val="clear" w:color="auto" w:fill="FFFFFF"/>
        </w:rPr>
        <w:t>2020</w:t>
      </w:r>
      <w:r>
        <w:rPr>
          <w:rFonts w:hint="eastAsia" w:ascii="仿宋_GB2312" w:hAnsi="微软雅黑" w:eastAsia="仿宋_GB2312" w:cs="仿宋_GB2312"/>
          <w:i w:val="0"/>
          <w:caps w:val="0"/>
          <w:color w:val="000000"/>
          <w:spacing w:val="0"/>
          <w:sz w:val="32"/>
          <w:szCs w:val="32"/>
          <w:shd w:val="clear" w:color="auto" w:fill="FFFFFF"/>
        </w:rPr>
        <w:t>〕</w:t>
      </w:r>
      <w:r>
        <w:rPr>
          <w:rFonts w:hint="default" w:ascii="Times New Roman" w:hAnsi="Times New Roman" w:eastAsia="微软雅黑" w:cs="Times New Roman"/>
          <w:i w:val="0"/>
          <w:caps w:val="0"/>
          <w:color w:val="000000"/>
          <w:spacing w:val="0"/>
          <w:sz w:val="32"/>
          <w:szCs w:val="32"/>
          <w:shd w:val="clear" w:color="auto" w:fill="FFFFFF"/>
        </w:rPr>
        <w:t>179</w:t>
      </w:r>
      <w:r>
        <w:rPr>
          <w:rFonts w:hint="eastAsia" w:ascii="仿宋_GB2312" w:hAnsi="微软雅黑" w:eastAsia="仿宋_GB2312" w:cs="仿宋_GB2312"/>
          <w:i w:val="0"/>
          <w:caps w:val="0"/>
          <w:color w:val="000000"/>
          <w:spacing w:val="0"/>
          <w:sz w:val="32"/>
          <w:szCs w:val="32"/>
          <w:shd w:val="clear" w:color="auto" w:fill="FFFFFF"/>
        </w:rPr>
        <w:t>号）收取信息处理费。</w:t>
      </w:r>
      <w:r>
        <w:rPr>
          <w:rFonts w:hint="default" w:ascii="Times New Roman" w:hAnsi="Times New Roman" w:eastAsia="微软雅黑" w:cs="Times New Roman"/>
          <w:i w:val="0"/>
          <w:caps w:val="0"/>
          <w:color w:val="000000"/>
          <w:spacing w:val="0"/>
          <w:sz w:val="32"/>
          <w:szCs w:val="32"/>
          <w:shd w:val="clear" w:color="auto" w:fill="FFFFFF"/>
        </w:rPr>
        <w:t>2022</w:t>
      </w:r>
      <w:r>
        <w:rPr>
          <w:rFonts w:hint="eastAsia" w:ascii="仿宋_GB2312" w:hAnsi="微软雅黑" w:eastAsia="仿宋_GB2312" w:cs="仿宋_GB2312"/>
          <w:i w:val="0"/>
          <w:caps w:val="0"/>
          <w:color w:val="000000"/>
          <w:spacing w:val="0"/>
          <w:sz w:val="32"/>
          <w:szCs w:val="32"/>
          <w:shd w:val="clear" w:color="auto" w:fill="FFFFFF"/>
        </w:rPr>
        <w:t>年淄博文昌湖省级旅游度假区管理委员会依申请公开政府信息未收取任何费用。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640"/>
        <w:jc w:val="left"/>
        <w:rPr>
          <w:rFonts w:hint="eastAsia" w:ascii="微软雅黑" w:hAnsi="微软雅黑" w:eastAsia="微软雅黑" w:cs="微软雅黑"/>
          <w:i w:val="0"/>
          <w:caps w:val="0"/>
          <w:color w:val="000000"/>
          <w:spacing w:val="0"/>
          <w:sz w:val="27"/>
          <w:szCs w:val="27"/>
        </w:rPr>
      </w:pPr>
      <w:r>
        <w:rPr>
          <w:rFonts w:ascii="微软雅黑" w:hAnsi="微软雅黑" w:eastAsia="微软雅黑" w:cs="微软雅黑"/>
          <w:i w:val="0"/>
          <w:caps w:val="0"/>
          <w:color w:val="000000"/>
          <w:spacing w:val="0"/>
          <w:sz w:val="32"/>
          <w:szCs w:val="32"/>
          <w:shd w:val="clear" w:color="auto" w:fill="FFFFFF"/>
        </w:rPr>
        <w:t>2</w:t>
      </w:r>
      <w:r>
        <w:rPr>
          <w:rFonts w:hint="eastAsia" w:ascii="楷体" w:hAnsi="楷体" w:eastAsia="楷体" w:cs="楷体"/>
          <w:i w:val="0"/>
          <w:caps w:val="0"/>
          <w:color w:val="000000"/>
          <w:spacing w:val="0"/>
          <w:sz w:val="32"/>
          <w:szCs w:val="32"/>
          <w:shd w:val="clear" w:color="auto" w:fill="FFFFFF"/>
        </w:rPr>
        <w:t>、人大代表和政协提案办理结果公开情况</w:t>
      </w:r>
      <w:r>
        <w:rPr>
          <w:rFonts w:hint="eastAsia" w:ascii="仿宋_GB2312" w:hAnsi="微软雅黑" w:eastAsia="仿宋_GB2312" w:cs="仿宋_GB2312"/>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rPr>
        <w:t>淄博文昌湖省级旅游度假区作为淄博市派出机构，无单独办理建议提案职能。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32"/>
          <w:szCs w:val="32"/>
          <w:shd w:val="clear" w:color="auto" w:fill="FFFFFF"/>
        </w:rPr>
        <w:t>3、创新实践情况：</w:t>
      </w:r>
      <w:r>
        <w:rPr>
          <w:rFonts w:hint="eastAsia" w:ascii="仿宋" w:hAnsi="仿宋" w:eastAsia="仿宋" w:cs="仿宋"/>
          <w:i w:val="0"/>
          <w:caps w:val="0"/>
          <w:color w:val="000000"/>
          <w:spacing w:val="0"/>
          <w:sz w:val="32"/>
          <w:szCs w:val="32"/>
          <w:shd w:val="clear" w:color="auto" w:fill="FFFFFF"/>
        </w:rPr>
        <w:t>做好公共企事业单位信息公开工作。指导14家公共企事业单位做好相关栏目信息的指导、核查等工作。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32"/>
          <w:szCs w:val="32"/>
          <w:shd w:val="clear" w:color="auto" w:fill="FFFFFF"/>
        </w:rPr>
        <w:t>4</w:t>
      </w:r>
      <w:r>
        <w:rPr>
          <w:rFonts w:hint="eastAsia" w:ascii="楷体" w:hAnsi="楷体" w:eastAsia="楷体" w:cs="楷体"/>
          <w:i w:val="0"/>
          <w:caps w:val="0"/>
          <w:color w:val="000000"/>
          <w:spacing w:val="0"/>
          <w:sz w:val="32"/>
          <w:szCs w:val="32"/>
          <w:shd w:val="clear" w:color="auto" w:fill="FFFFFF"/>
        </w:rPr>
        <w:t>、落实上级年度政务公开工作要点情况</w:t>
      </w:r>
      <w:r>
        <w:rPr>
          <w:rFonts w:hint="eastAsia" w:ascii="仿宋_GB2312" w:hAnsi="微软雅黑" w:eastAsia="仿宋_GB2312" w:cs="仿宋_GB2312"/>
          <w:i w:val="0"/>
          <w:caps w:val="0"/>
          <w:color w:val="000000"/>
          <w:spacing w:val="0"/>
          <w:sz w:val="32"/>
          <w:szCs w:val="32"/>
          <w:shd w:val="clear" w:color="auto" w:fill="FFFFFF"/>
        </w:rPr>
        <w:t>。</w:t>
      </w:r>
      <w:r>
        <w:rPr>
          <w:rFonts w:hint="default" w:ascii="Times New Roman" w:hAnsi="Times New Roman" w:eastAsia="微软雅黑" w:cs="Times New Roman"/>
          <w:i w:val="0"/>
          <w:caps w:val="0"/>
          <w:color w:val="000000"/>
          <w:spacing w:val="0"/>
          <w:sz w:val="32"/>
          <w:szCs w:val="32"/>
          <w:shd w:val="clear" w:color="auto" w:fill="FFFFFF"/>
        </w:rPr>
        <w:t>2022</w:t>
      </w:r>
      <w:r>
        <w:rPr>
          <w:rFonts w:hint="eastAsia" w:ascii="仿宋_GB2312" w:hAnsi="微软雅黑" w:eastAsia="仿宋_GB2312" w:cs="仿宋_GB2312"/>
          <w:i w:val="0"/>
          <w:caps w:val="0"/>
          <w:color w:val="000000"/>
          <w:spacing w:val="0"/>
          <w:sz w:val="32"/>
          <w:szCs w:val="32"/>
          <w:shd w:val="clear" w:color="auto" w:fill="FFFFFF"/>
        </w:rPr>
        <w:t>年，</w:t>
      </w:r>
      <w:r>
        <w:rPr>
          <w:rFonts w:hint="eastAsia" w:ascii="仿宋_GB2312" w:hAnsi="Times New Roman" w:eastAsia="仿宋_GB2312" w:cs="仿宋_GB2312"/>
          <w:i w:val="0"/>
          <w:caps w:val="0"/>
          <w:color w:val="000000"/>
          <w:spacing w:val="0"/>
          <w:sz w:val="32"/>
          <w:szCs w:val="32"/>
          <w:shd w:val="clear" w:color="auto" w:fill="FFFFFF"/>
        </w:rPr>
        <w:t>制定印发《</w:t>
      </w:r>
      <w:r>
        <w:rPr>
          <w:rFonts w:hint="default" w:ascii="Times New Roman" w:hAnsi="Times New Roman" w:eastAsia="微软雅黑" w:cs="Times New Roman"/>
          <w:i w:val="0"/>
          <w:caps w:val="0"/>
          <w:color w:val="000000"/>
          <w:spacing w:val="0"/>
          <w:sz w:val="32"/>
          <w:szCs w:val="32"/>
          <w:shd w:val="clear" w:color="auto" w:fill="FFFFFF"/>
        </w:rPr>
        <w:t>20</w:t>
      </w:r>
      <w:r>
        <w:rPr>
          <w:rFonts w:hint="eastAsia" w:ascii="Times New Roman" w:hAnsi="Times New Roman" w:eastAsia="微软雅黑" w:cs="Times New Roman"/>
          <w:i w:val="0"/>
          <w:caps w:val="0"/>
          <w:color w:val="000000"/>
          <w:spacing w:val="0"/>
          <w:sz w:val="32"/>
          <w:szCs w:val="32"/>
          <w:shd w:val="clear" w:color="auto" w:fill="FFFFFF"/>
          <w:lang w:val="en-US" w:eastAsia="zh-CN"/>
        </w:rPr>
        <w:t>22</w:t>
      </w:r>
      <w:r>
        <w:rPr>
          <w:rFonts w:hint="eastAsia" w:ascii="仿宋_GB2312" w:hAnsi="Times New Roman" w:eastAsia="仿宋_GB2312" w:cs="仿宋_GB2312"/>
          <w:i w:val="0"/>
          <w:caps w:val="0"/>
          <w:color w:val="000000"/>
          <w:spacing w:val="0"/>
          <w:sz w:val="32"/>
          <w:szCs w:val="32"/>
          <w:shd w:val="clear" w:color="auto" w:fill="FFFFFF"/>
        </w:rPr>
        <w:t>年淄博文昌湖省级旅游度假区政务公开工作</w:t>
      </w:r>
      <w:r>
        <w:rPr>
          <w:rFonts w:hint="eastAsia" w:ascii="仿宋_GB2312" w:hAnsi="微软雅黑" w:eastAsia="仿宋_GB2312" w:cs="仿宋_GB2312"/>
          <w:i w:val="0"/>
          <w:caps w:val="0"/>
          <w:color w:val="000000"/>
          <w:spacing w:val="0"/>
          <w:sz w:val="32"/>
          <w:szCs w:val="32"/>
          <w:shd w:val="clear" w:color="auto" w:fill="FFFFFF"/>
        </w:rPr>
        <w:t>方案</w:t>
      </w:r>
      <w:r>
        <w:rPr>
          <w:rFonts w:hint="eastAsia" w:ascii="仿宋_GB2312" w:hAnsi="Times New Roman" w:eastAsia="仿宋_GB2312" w:cs="仿宋_GB2312"/>
          <w:i w:val="0"/>
          <w:caps w:val="0"/>
          <w:color w:val="000000"/>
          <w:spacing w:val="0"/>
          <w:sz w:val="32"/>
          <w:szCs w:val="32"/>
          <w:shd w:val="clear" w:color="auto" w:fill="FFFFFF"/>
        </w:rPr>
        <w:t>》，</w:t>
      </w:r>
      <w:r>
        <w:rPr>
          <w:rFonts w:hint="eastAsia" w:ascii="仿宋_GB2312" w:hAnsi="微软雅黑" w:eastAsia="仿宋_GB2312" w:cs="仿宋_GB2312"/>
          <w:i w:val="0"/>
          <w:caps w:val="0"/>
          <w:color w:val="000000"/>
          <w:spacing w:val="0"/>
          <w:sz w:val="32"/>
          <w:szCs w:val="32"/>
          <w:shd w:val="clear" w:color="auto" w:fill="FFFFFF"/>
        </w:rPr>
        <w:t>明确责任分工，细化公开内容，及时公开信息。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643"/>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eastAsia="仿宋_GB2312" w:cs="Times New Roman"/>
          <w:kern w:val="2"/>
          <w:sz w:val="32"/>
          <w:szCs w:val="32"/>
          <w:lang w:val="en-US" w:eastAsia="zh-CN" w:bidi="ar-S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12442"/>
    <w:rsid w:val="153B68D2"/>
    <w:rsid w:val="179442D8"/>
    <w:rsid w:val="18F8550C"/>
    <w:rsid w:val="20937D03"/>
    <w:rsid w:val="27482BFF"/>
    <w:rsid w:val="34BA7978"/>
    <w:rsid w:val="3F767FC7"/>
    <w:rsid w:val="555A586D"/>
    <w:rsid w:val="581B7948"/>
    <w:rsid w:val="586E6F1B"/>
    <w:rsid w:val="5BAB5547"/>
    <w:rsid w:val="657B6D6F"/>
    <w:rsid w:val="66CE36DD"/>
    <w:rsid w:val="67E826F4"/>
    <w:rsid w:val="7B351D70"/>
    <w:rsid w:val="7CA738E9"/>
    <w:rsid w:val="F77BFE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17.3333333333333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2023-02-07T13:41:02Z</dcterms:created>
  <dc:creator>Lenovo</dc:creator>
  <cp:lastModifiedBy>橘子吉</cp:lastModifiedBy>
  <dcterms:modified xsi:type="dcterms:W3CDTF">2023-02-20T10:19:33Z</dcterms:modified>
  <dc:title>淄博文昌湖省级旅游度假区管理委员会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D830F54C396A4113A0F154A3583AF188</vt:lpwstr>
  </property>
</Properties>
</file>