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淄博文昌湖省级旅游度假区管理委员会</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2021年政府信息公开工作年度报告</w:t>
      </w:r>
    </w:p>
    <w:p>
      <w:pPr>
        <w:pStyle w:val="2"/>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Times New Roman" w:hAnsi="Times New Roman" w:eastAsia="仿宋_GB2312" w:cs="Times New Roman"/>
          <w:b w:val="0"/>
          <w:bCs w:val="0"/>
          <w:sz w:val="32"/>
          <w:szCs w:val="32"/>
          <w:lang w:val="en-US" w:eastAsia="zh-CN"/>
        </w:rPr>
      </w:pPr>
    </w:p>
    <w:p>
      <w:pPr>
        <w:pStyle w:val="5"/>
        <w:keepNext w:val="0"/>
        <w:keepLines w:val="0"/>
        <w:widowControl/>
        <w:suppressLineNumbers w:val="0"/>
        <w:ind w:left="0" w:firstLine="640"/>
      </w:pPr>
      <w:r>
        <w:rPr>
          <w:rFonts w:ascii="仿宋_GB2312" w:hAnsi="Times New Roman" w:eastAsia="仿宋_GB2312" w:cs="仿宋_GB2312"/>
          <w:sz w:val="32"/>
          <w:szCs w:val="32"/>
        </w:rPr>
        <w:t>根据《中华人民共和国政府信息公开条例》、《国务院办公厅政府信息与政务公开办公室</w:t>
      </w:r>
      <w:r>
        <w:rPr>
          <w:rFonts w:hint="eastAsia" w:ascii="仿宋_GB2312" w:hAnsi="Times New Roman" w:eastAsia="仿宋_GB2312" w:cs="仿宋_GB2312"/>
          <w:sz w:val="32"/>
          <w:szCs w:val="32"/>
          <w:lang w:eastAsia="zh-CN"/>
        </w:rPr>
        <w:t>关于印发</w:t>
      </w:r>
      <w:r>
        <w:rPr>
          <w:rFonts w:hint="eastAsia" w:ascii="仿宋_GB2312" w:hAnsi="Times New Roman" w:eastAsia="仿宋_GB2312" w:cs="仿宋_GB2312"/>
          <w:sz w:val="32"/>
          <w:szCs w:val="32"/>
          <w:lang w:val="en-US" w:eastAsia="zh-CN"/>
        </w:rPr>
        <w:t>&lt;中华人民共和国政府信息公开工作年度报告格式&gt;</w:t>
      </w:r>
      <w:r>
        <w:rPr>
          <w:rFonts w:ascii="仿宋_GB2312" w:hAnsi="Times New Roman" w:eastAsia="仿宋_GB2312" w:cs="仿宋_GB2312"/>
          <w:sz w:val="32"/>
          <w:szCs w:val="32"/>
        </w:rPr>
        <w:t>的通知》</w:t>
      </w:r>
      <w:r>
        <w:rPr>
          <w:rFonts w:hint="default" w:ascii="Times New Roman" w:hAnsi="Times New Roman" w:cs="Times New Roman"/>
          <w:sz w:val="32"/>
          <w:szCs w:val="32"/>
        </w:rPr>
        <w:t>(</w:t>
      </w:r>
      <w:r>
        <w:rPr>
          <w:rFonts w:hint="eastAsia" w:ascii="仿宋_GB2312" w:hAnsi="Times New Roman" w:eastAsia="仿宋_GB2312" w:cs="仿宋_GB2312"/>
          <w:sz w:val="32"/>
          <w:szCs w:val="32"/>
        </w:rPr>
        <w:t>国办公开办函〔</w:t>
      </w:r>
      <w:r>
        <w:rPr>
          <w:rFonts w:hint="default" w:ascii="Times New Roman" w:hAnsi="Times New Roman" w:cs="Times New Roman"/>
          <w:sz w:val="32"/>
          <w:szCs w:val="32"/>
        </w:rPr>
        <w:t>20</w:t>
      </w:r>
      <w:r>
        <w:rPr>
          <w:rFonts w:hint="eastAsia" w:ascii="Times New Roman" w:hAnsi="Times New Roman" w:cs="Times New Roman"/>
          <w:sz w:val="32"/>
          <w:szCs w:val="32"/>
          <w:lang w:val="en-US" w:eastAsia="zh-CN"/>
        </w:rPr>
        <w:t>21</w:t>
      </w:r>
      <w:r>
        <w:rPr>
          <w:rFonts w:hint="eastAsia" w:ascii="仿宋_GB2312" w:hAnsi="Times New Roman" w:eastAsia="仿宋_GB2312" w:cs="仿宋_GB2312"/>
          <w:sz w:val="32"/>
          <w:szCs w:val="32"/>
        </w:rPr>
        <w:t>〕</w:t>
      </w:r>
      <w:r>
        <w:rPr>
          <w:rFonts w:hint="eastAsia" w:ascii="Times New Roman" w:hAnsi="Times New Roman" w:eastAsia="仿宋_GB2312" w:cs="Times New Roman"/>
          <w:sz w:val="32"/>
          <w:szCs w:val="32"/>
          <w:lang w:val="en-US" w:eastAsia="zh-CN"/>
        </w:rPr>
        <w:t>30</w:t>
      </w:r>
      <w:r>
        <w:rPr>
          <w:rFonts w:hint="eastAsia" w:ascii="仿宋_GB2312" w:hAnsi="Times New Roman" w:eastAsia="仿宋_GB2312" w:cs="仿宋_GB2312"/>
          <w:sz w:val="32"/>
          <w:szCs w:val="32"/>
        </w:rPr>
        <w:t>号）</w:t>
      </w:r>
      <w:r>
        <w:rPr>
          <w:rFonts w:hint="eastAsia" w:ascii="仿宋_GB2312" w:hAnsi="Times New Roman" w:eastAsia="仿宋_GB2312" w:cs="仿宋_GB2312"/>
          <w:sz w:val="32"/>
          <w:szCs w:val="32"/>
          <w:lang w:eastAsia="zh-CN"/>
        </w:rPr>
        <w:t>编制</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本报告主要包括：</w:t>
      </w:r>
      <w:r>
        <w:rPr>
          <w:rFonts w:hint="eastAsia" w:ascii="仿宋_GB2312" w:hAnsi="Times New Roman" w:eastAsia="仿宋_GB2312" w:cs="仿宋_GB2312"/>
          <w:sz w:val="32"/>
          <w:szCs w:val="32"/>
        </w:rPr>
        <w:t>总体情况、主动公开政府信息情况、收到和处理政府信息公开申请情况、</w:t>
      </w:r>
      <w:r>
        <w:rPr>
          <w:rFonts w:hint="eastAsia" w:ascii="仿宋_GB2312" w:hAnsi="Times New Roman" w:eastAsia="仿宋_GB2312" w:cs="仿宋_GB2312"/>
          <w:sz w:val="32"/>
          <w:szCs w:val="32"/>
          <w:lang w:eastAsia="zh-CN"/>
        </w:rPr>
        <w:t>因</w:t>
      </w:r>
      <w:r>
        <w:rPr>
          <w:rFonts w:hint="eastAsia" w:ascii="仿宋_GB2312" w:hAnsi="Times New Roman" w:eastAsia="仿宋_GB2312" w:cs="仿宋_GB2312"/>
          <w:sz w:val="32"/>
          <w:szCs w:val="32"/>
        </w:rPr>
        <w:t>政府信息公开</w:t>
      </w:r>
      <w:r>
        <w:rPr>
          <w:rFonts w:hint="eastAsia" w:ascii="仿宋_GB2312" w:hAnsi="Times New Roman" w:eastAsia="仿宋_GB2312" w:cs="仿宋_GB2312"/>
          <w:sz w:val="32"/>
          <w:szCs w:val="32"/>
          <w:lang w:eastAsia="zh-CN"/>
        </w:rPr>
        <w:t>工作被申请</w:t>
      </w:r>
      <w:r>
        <w:rPr>
          <w:rFonts w:hint="eastAsia" w:ascii="仿宋_GB2312" w:hAnsi="Times New Roman" w:eastAsia="仿宋_GB2312" w:cs="仿宋_GB2312"/>
          <w:sz w:val="32"/>
          <w:szCs w:val="32"/>
        </w:rPr>
        <w:t>行政复议</w:t>
      </w:r>
      <w:r>
        <w:rPr>
          <w:rFonts w:hint="eastAsia" w:ascii="仿宋_GB2312" w:hAnsi="Times New Roman" w:eastAsia="仿宋_GB2312" w:cs="仿宋_GB2312"/>
          <w:sz w:val="32"/>
          <w:szCs w:val="32"/>
          <w:lang w:eastAsia="zh-CN"/>
        </w:rPr>
        <w:t>和提起</w:t>
      </w:r>
      <w:r>
        <w:rPr>
          <w:rFonts w:hint="eastAsia" w:ascii="仿宋_GB2312" w:hAnsi="Times New Roman" w:eastAsia="仿宋_GB2312" w:cs="仿宋_GB2312"/>
          <w:sz w:val="32"/>
          <w:szCs w:val="32"/>
        </w:rPr>
        <w:t>行政诉讼情况、</w:t>
      </w:r>
      <w:r>
        <w:rPr>
          <w:rFonts w:hint="eastAsia" w:ascii="仿宋_GB2312" w:hAnsi="Times New Roman" w:eastAsia="仿宋_GB2312" w:cs="仿宋_GB2312"/>
          <w:sz w:val="32"/>
          <w:szCs w:val="32"/>
          <w:lang w:eastAsia="zh-CN"/>
        </w:rPr>
        <w:t>政府信息公开工作</w:t>
      </w:r>
      <w:r>
        <w:rPr>
          <w:rFonts w:hint="eastAsia" w:ascii="仿宋_GB2312" w:hAnsi="Times New Roman" w:eastAsia="仿宋_GB2312" w:cs="仿宋_GB2312"/>
          <w:sz w:val="32"/>
          <w:szCs w:val="32"/>
        </w:rPr>
        <w:t>存在的主要问题及改进情况</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其他需要报告的事项</w:t>
      </w:r>
      <w:r>
        <w:rPr>
          <w:rFonts w:hint="default" w:ascii="Times New Roman" w:hAnsi="Times New Roman" w:cs="Times New Roman"/>
          <w:sz w:val="32"/>
          <w:szCs w:val="32"/>
        </w:rPr>
        <w:t>6</w:t>
      </w:r>
      <w:r>
        <w:rPr>
          <w:rFonts w:hint="eastAsia" w:ascii="仿宋_GB2312" w:hAnsi="Times New Roman" w:eastAsia="仿宋_GB2312" w:cs="仿宋_GB2312"/>
          <w:sz w:val="32"/>
          <w:szCs w:val="32"/>
        </w:rPr>
        <w:t>个部分组成。本报告中所列数据的统计期限自</w:t>
      </w:r>
      <w:r>
        <w:rPr>
          <w:rFonts w:hint="default" w:ascii="Times New Roman" w:hAnsi="Times New Roman" w:cs="Times New Roman"/>
          <w:sz w:val="32"/>
          <w:szCs w:val="32"/>
        </w:rPr>
        <w:t>202</w:t>
      </w:r>
      <w:r>
        <w:rPr>
          <w:rFonts w:hint="eastAsia" w:ascii="Times New Roman" w:hAnsi="Times New Roman" w:cs="Times New Roman"/>
          <w:sz w:val="32"/>
          <w:szCs w:val="32"/>
          <w:lang w:val="en-US" w:eastAsia="zh-CN"/>
        </w:rPr>
        <w:t>1</w:t>
      </w:r>
      <w:r>
        <w:rPr>
          <w:rFonts w:hint="eastAsia" w:ascii="仿宋_GB2312" w:hAnsi="Times New Roman" w:eastAsia="仿宋_GB2312" w:cs="仿宋_GB2312"/>
          <w:sz w:val="32"/>
          <w:szCs w:val="32"/>
        </w:rPr>
        <w:t>年</w:t>
      </w:r>
      <w:r>
        <w:rPr>
          <w:rFonts w:hint="default" w:ascii="Times New Roman" w:hAnsi="Times New Roman" w:cs="Times New Roman"/>
          <w:sz w:val="32"/>
          <w:szCs w:val="32"/>
        </w:rPr>
        <w:t>1</w:t>
      </w:r>
      <w:r>
        <w:rPr>
          <w:rFonts w:hint="eastAsia" w:ascii="仿宋_GB2312" w:hAnsi="Times New Roman" w:eastAsia="仿宋_GB2312" w:cs="仿宋_GB2312"/>
          <w:sz w:val="32"/>
          <w:szCs w:val="32"/>
        </w:rPr>
        <w:t>月</w:t>
      </w:r>
      <w:r>
        <w:rPr>
          <w:rFonts w:hint="default" w:ascii="Times New Roman" w:hAnsi="Times New Roman" w:cs="Times New Roman"/>
          <w:sz w:val="32"/>
          <w:szCs w:val="32"/>
        </w:rPr>
        <w:t>1</w:t>
      </w:r>
      <w:r>
        <w:rPr>
          <w:rFonts w:hint="eastAsia" w:ascii="仿宋_GB2312" w:hAnsi="Times New Roman" w:eastAsia="仿宋_GB2312" w:cs="仿宋_GB2312"/>
          <w:sz w:val="32"/>
          <w:szCs w:val="32"/>
        </w:rPr>
        <w:t>日起至</w:t>
      </w:r>
      <w:r>
        <w:rPr>
          <w:rFonts w:hint="default" w:ascii="Times New Roman" w:hAnsi="Times New Roman" w:cs="Times New Roman"/>
          <w:sz w:val="32"/>
          <w:szCs w:val="32"/>
        </w:rPr>
        <w:t>202</w:t>
      </w:r>
      <w:r>
        <w:rPr>
          <w:rFonts w:hint="eastAsia" w:ascii="Times New Roman" w:hAnsi="Times New Roman" w:cs="Times New Roman"/>
          <w:sz w:val="32"/>
          <w:szCs w:val="32"/>
          <w:lang w:val="en-US" w:eastAsia="zh-CN"/>
        </w:rPr>
        <w:t>1</w:t>
      </w:r>
      <w:r>
        <w:rPr>
          <w:rFonts w:hint="eastAsia" w:ascii="仿宋_GB2312" w:hAnsi="Times New Roman" w:eastAsia="仿宋_GB2312" w:cs="仿宋_GB2312"/>
          <w:sz w:val="32"/>
          <w:szCs w:val="32"/>
        </w:rPr>
        <w:t>年</w:t>
      </w:r>
      <w:r>
        <w:rPr>
          <w:rFonts w:hint="default" w:ascii="Times New Roman" w:hAnsi="Times New Roman" w:cs="Times New Roman"/>
          <w:sz w:val="32"/>
          <w:szCs w:val="32"/>
        </w:rPr>
        <w:t>12</w:t>
      </w:r>
      <w:r>
        <w:rPr>
          <w:rFonts w:hint="eastAsia" w:ascii="仿宋_GB2312" w:hAnsi="Times New Roman" w:eastAsia="仿宋_GB2312" w:cs="仿宋_GB2312"/>
          <w:sz w:val="32"/>
          <w:szCs w:val="32"/>
        </w:rPr>
        <w:t>月</w:t>
      </w:r>
      <w:r>
        <w:rPr>
          <w:rFonts w:hint="default" w:ascii="Times New Roman" w:hAnsi="Times New Roman" w:cs="Times New Roman"/>
          <w:sz w:val="32"/>
          <w:szCs w:val="32"/>
        </w:rPr>
        <w:t>31</w:t>
      </w:r>
      <w:r>
        <w:rPr>
          <w:rFonts w:hint="eastAsia" w:ascii="仿宋_GB2312" w:hAnsi="Times New Roman" w:eastAsia="仿宋_GB2312" w:cs="仿宋_GB2312"/>
          <w:sz w:val="32"/>
          <w:szCs w:val="32"/>
        </w:rPr>
        <w:t>日止。</w:t>
      </w:r>
      <w:r>
        <w:rPr>
          <w:rFonts w:hint="eastAsia" w:ascii="仿宋_GB2312" w:hAnsi="Times New Roman" w:eastAsia="仿宋_GB2312" w:cs="仿宋_GB2312"/>
          <w:sz w:val="32"/>
          <w:szCs w:val="32"/>
          <w:lang w:eastAsia="zh-CN"/>
        </w:rPr>
        <w:t>本报告可在淄博文昌湖省级旅游度假区门户网站</w:t>
      </w:r>
      <w:r>
        <w:rPr>
          <w:rFonts w:hint="eastAsia" w:ascii="Times New Roman" w:hAnsi="Times New Roman" w:cs="Times New Roman"/>
          <w:sz w:val="32"/>
          <w:szCs w:val="32"/>
          <w:lang w:eastAsia="zh-CN"/>
        </w:rPr>
        <w:t>（http://www.sdwenchanghu.gov.cn/</w:t>
      </w:r>
      <w:r>
        <w:rPr>
          <w:rFonts w:hint="eastAsia" w:ascii="仿宋_GB2312" w:hAnsi="Times New Roman" w:eastAsia="仿宋_GB2312" w:cs="仿宋_GB2312"/>
          <w:sz w:val="32"/>
          <w:szCs w:val="32"/>
          <w:lang w:eastAsia="zh-CN"/>
        </w:rPr>
        <w:t>）查阅和下载。</w:t>
      </w:r>
      <w:r>
        <w:rPr>
          <w:rFonts w:hint="eastAsia" w:ascii="仿宋_GB2312" w:hAnsi="Times New Roman" w:eastAsia="仿宋_GB2312" w:cs="仿宋_GB2312"/>
          <w:sz w:val="32"/>
          <w:szCs w:val="32"/>
        </w:rPr>
        <w:t>如对本报告有任何疑问，请与</w:t>
      </w:r>
      <w:r>
        <w:rPr>
          <w:rFonts w:hint="eastAsia" w:ascii="仿宋_GB2312" w:hAnsi="Times New Roman" w:eastAsia="仿宋_GB2312" w:cs="仿宋_GB2312"/>
          <w:sz w:val="32"/>
          <w:szCs w:val="32"/>
          <w:lang w:eastAsia="zh-CN"/>
        </w:rPr>
        <w:t>淄博文昌湖省级旅游度假区管理委员会</w:t>
      </w:r>
      <w:r>
        <w:rPr>
          <w:rFonts w:hint="eastAsia" w:ascii="仿宋_GB2312" w:hAnsi="Times New Roman" w:eastAsia="仿宋_GB2312" w:cs="仿宋_GB2312"/>
          <w:sz w:val="32"/>
          <w:szCs w:val="32"/>
        </w:rPr>
        <w:t>办公室联系（地址：</w:t>
      </w:r>
      <w:r>
        <w:rPr>
          <w:rFonts w:hint="eastAsia" w:ascii="仿宋_GB2312" w:hAnsi="Times New Roman" w:eastAsia="仿宋_GB2312" w:cs="仿宋_GB2312"/>
          <w:sz w:val="32"/>
          <w:szCs w:val="32"/>
          <w:lang w:eastAsia="zh-CN"/>
        </w:rPr>
        <w:t>淄博市</w:t>
      </w:r>
      <w:r>
        <w:rPr>
          <w:rFonts w:hint="eastAsia" w:ascii="仿宋_GB2312" w:hAnsi="Times New Roman" w:eastAsia="仿宋_GB2312" w:cs="仿宋_GB2312"/>
          <w:sz w:val="32"/>
          <w:szCs w:val="32"/>
        </w:rPr>
        <w:t>文昌湖区萌水镇防汛路</w:t>
      </w:r>
      <w:r>
        <w:rPr>
          <w:rFonts w:hint="default" w:ascii="Times New Roman" w:hAnsi="Times New Roman" w:cs="Times New Roman"/>
          <w:sz w:val="32"/>
          <w:szCs w:val="32"/>
        </w:rPr>
        <w:t>1</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val="en-US" w:eastAsia="zh-CN"/>
        </w:rPr>
        <w:t>219室</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联系</w:t>
      </w:r>
      <w:r>
        <w:rPr>
          <w:rFonts w:hint="eastAsia" w:ascii="仿宋_GB2312" w:hAnsi="Times New Roman" w:eastAsia="仿宋_GB2312" w:cs="仿宋_GB2312"/>
          <w:sz w:val="32"/>
          <w:szCs w:val="32"/>
        </w:rPr>
        <w:t>电话：</w:t>
      </w:r>
      <w:r>
        <w:rPr>
          <w:rFonts w:hint="default" w:ascii="Times New Roman" w:hAnsi="Times New Roman" w:cs="Times New Roman"/>
          <w:sz w:val="32"/>
          <w:szCs w:val="32"/>
        </w:rPr>
        <w:t>6030</w:t>
      </w:r>
      <w:r>
        <w:rPr>
          <w:rFonts w:hint="eastAsia" w:ascii="Times New Roman" w:hAnsi="Times New Roman" w:cs="Times New Roman"/>
          <w:sz w:val="32"/>
          <w:szCs w:val="32"/>
          <w:lang w:val="en-US" w:eastAsia="zh-CN"/>
        </w:rPr>
        <w:t>011</w:t>
      </w:r>
      <w:r>
        <w:rPr>
          <w:rFonts w:hint="eastAsia" w:ascii="仿宋_GB2312" w:hAnsi="Times New Roman" w:eastAsia="仿宋_GB2312" w:cs="仿宋_GB2312"/>
          <w:sz w:val="32"/>
          <w:szCs w:val="32"/>
        </w:rPr>
        <w:t>，邮箱：</w:t>
      </w:r>
      <w:r>
        <w:rPr>
          <w:rFonts w:hint="default" w:ascii="Times New Roman" w:hAnsi="Times New Roman" w:cs="Times New Roman"/>
          <w:sz w:val="32"/>
          <w:szCs w:val="32"/>
        </w:rPr>
        <w:t>wenchanghuqudgwgwhbgs@zb.shandong.cn</w:t>
      </w:r>
      <w:r>
        <w:rPr>
          <w:rFonts w:hint="eastAsia" w:ascii="仿宋_GB2312" w:hAnsi="Times New Roman" w:eastAsia="仿宋_GB2312" w:cs="仿宋_GB2312"/>
          <w:sz w:val="32"/>
          <w:szCs w:val="32"/>
        </w:rPr>
        <w:t>）。</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outlineLvl w:val="0"/>
        <w:rPr>
          <w:rFonts w:hint="default" w:ascii="仿宋" w:hAnsi="仿宋" w:eastAsia="仿宋" w:cs="仿宋"/>
          <w:b w:val="0"/>
          <w:bCs w:val="0"/>
          <w:i w:val="0"/>
          <w:iCs w:val="0"/>
          <w:caps w:val="0"/>
          <w:color w:val="000000"/>
          <w:spacing w:val="0"/>
          <w:kern w:val="2"/>
          <w:sz w:val="32"/>
          <w:szCs w:val="32"/>
          <w:shd w:val="clear" w:fill="FFFFFF"/>
          <w:lang w:val="en-US" w:eastAsia="zh-CN" w:bidi="ar-SA"/>
        </w:rPr>
      </w:pPr>
      <w:r>
        <w:rPr>
          <w:rFonts w:hint="eastAsia" w:ascii="黑体" w:hAnsi="黑体" w:eastAsia="黑体" w:cs="黑体"/>
          <w:b w:val="0"/>
          <w:bCs w:val="0"/>
          <w:sz w:val="32"/>
          <w:szCs w:val="32"/>
          <w:lang w:val="en-US" w:eastAsia="zh-CN"/>
        </w:rPr>
        <w:t>一、总体情况</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文昌湖区管委会坚持以习近平新时代中国特色社会主义思想为指导，认真贯彻落实党中央、国务院及省、市关于政务公开工作的决策部署，紧紧围绕区工委、区管委会中心工作，坚持以人民为中心的发展思想，着力提升政务公开标准化规范化水平，切实保障人民群众的知情权、参与权、监督权，扎实推进全区政府信息公开各项工作。</w:t>
      </w:r>
    </w:p>
    <w:p>
      <w:pPr>
        <w:ind w:firstLine="640" w:firstLineChars="200"/>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（一）主动公开情况</w:t>
      </w:r>
      <w:r>
        <w:rPr>
          <w:rFonts w:hint="default" w:ascii="Times New Roman" w:hAnsi="Times New Roman" w:eastAsia="仿宋_GB2312" w:cs="Times New Roman"/>
          <w:sz w:val="32"/>
          <w:szCs w:val="32"/>
          <w:lang w:val="en-US" w:eastAsia="zh-CN"/>
        </w:rPr>
        <w:t>：一是全面推进政务“五公开”。坚持“公开为常态、不公开为例外”原则，充分发挥政府网站第一公开平台作用，推行决策、执行、管理、服务、结果全过程公开。2021年，全区通过区管委会网站公开政策文件、重点领域、行政执法等各类信息1503条，无人大代表建议和政协委员提案办理情况。二是加强政策解读。严格落实解读材料和政策文件“同步起草、同步审签、同步发布”工作制度，对政策类文件开展精准解读。不断丰富解读形式，增加了图示解读等解读方式，加强政策解读材料质量把控。2021年，通过区管委会门户网站发布政策解读22篇。三是积极回应关切。搭建政民互动桥梁，利用政民互动栏目，强化疑难问题督办力度，不断拓宽热线服务功能，回应事件数18次。</w:t>
      </w:r>
    </w:p>
    <w:p>
      <w:pPr>
        <w:rPr>
          <w:rFonts w:hint="default"/>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1155700</wp:posOffset>
                </wp:positionH>
                <wp:positionV relativeFrom="paragraph">
                  <wp:posOffset>178435</wp:posOffset>
                </wp:positionV>
                <wp:extent cx="3629025" cy="3295650"/>
                <wp:effectExtent l="4445" t="4445" r="5080" b="14605"/>
                <wp:wrapNone/>
                <wp:docPr id="3" name="文本框 3"/>
                <wp:cNvGraphicFramePr/>
                <a:graphic xmlns:a="http://schemas.openxmlformats.org/drawingml/2006/main">
                  <a:graphicData uri="http://schemas.microsoft.com/office/word/2010/wordprocessingShape">
                    <wps:wsp>
                      <wps:cNvSpPr txBox="1"/>
                      <wps:spPr>
                        <a:xfrm>
                          <a:off x="1461135" y="6463665"/>
                          <a:ext cx="3629025" cy="32956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3272790" cy="2804160"/>
                                  <wp:effectExtent l="0" t="0" r="3810" b="15240"/>
                                  <wp:docPr id="4" name="图片 4" descr="ea93c7d926afef4c0a6e20f19bc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93c7d926afef4c0a6e20f19bce272"/>
                                          <pic:cNvPicPr>
                                            <a:picLocks noChangeAspect="1"/>
                                          </pic:cNvPicPr>
                                        </pic:nvPicPr>
                                        <pic:blipFill>
                                          <a:blip r:embed="rId5"/>
                                          <a:stretch>
                                            <a:fillRect/>
                                          </a:stretch>
                                        </pic:blipFill>
                                        <pic:spPr>
                                          <a:xfrm>
                                            <a:off x="0" y="0"/>
                                            <a:ext cx="3272790" cy="2804160"/>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4.05pt;height:259.5pt;width:285.75pt;z-index:251660288;mso-width-relative:page;mso-height-relative:page;" fillcolor="#FFFFFF [3201]" filled="t" stroked="t" coordsize="21600,21600" o:gfxdata="UEsDBAoAAAAAAIdO4kAAAAAAAAAAAAAAAAAEAAAAZHJzL1BLAwQUAAAACACHTuJArfj0+NYAAAAK&#10;AQAADwAAAGRycy9kb3ducmV2LnhtbE2PS0/DMBCE70j8B2uRuFHHoaEhxOmhEnDuA85uvCSBeG3F&#10;7gN+PcuJHkc7M/tNvTy7URxxioMnDWqWgUBqvR2o07DbPt+VIGIyZM3oCTV8Y4Rlc31Vm8r6E63x&#10;uEmd4BKKldHQpxQqKWPbozNx5gMS3z785ExiOXXSTubE5W6UeZY9SGcG4g+9Cbjqsf3aHBxjoAuP&#10;Ib35LX6u1Xz3+p6vfl60vr1R2ROIhOf0b4Y/fM5Aw0x7fyAbxci6zHlL0pCXCgQbFsV9AWKvoZgv&#10;FMimlpcTml9QSwMEFAAAAAgAh07iQGlg+tZEAgAAeQQAAA4AAABkcnMvZTJvRG9jLnhtbK1UzY7a&#10;MBC+V+o7WL6XkATSgggryoqq0qq7Ev05G8chkRyPaxsS+gDdN+ipl977XDxHxw7s0p/TqhzM2PPx&#10;zcw3M8yuukaSvTC2BpXTeDCkRCgORa22Of3wfvXiFSXWMVUwCUrk9CAsvZo/fzZr9VQkUIEshCFI&#10;ouy01TmtnNPTKLK8Eg2zA9BCobME0zCHV7ONCsNaZG9klAyHWdSCKbQBLqzF1+veSeeBvywFd7dl&#10;aYUjMqeYmwunCefGn9F8xqZbw3RV81Ma7AlZNKxWGPSB6po5Rnam/ouqqbkBC6UbcGgiKMuai1AD&#10;VhMP/6hmXTEtQi0ojtUPMtn/R8vf7e8MqYucppQo1mCLjt/uj99/Hn98JamXp9V2iqi1RpzrXkOH&#10;bT6/W3z0VXelafw31kO8f5TFcTqm5JDTbJSlWTbuhRadIxwBaZZMhgkCOCLSZDLOxqEV0SOVNta9&#10;EdAQb+TUYCeDwGx/Yx2mhdAzxEe2IOtiVUsZLma7WUpD9gy7vgofHx9/8htMKtJiginGfhoFEkqF&#10;vF6iXgpvuW7TnXTbQHFA2Qz0c2c1X9VYzg2z7o4ZHDQcSVwed4tHKQGzgZNFSQXmy7/ePT6ngn3E&#10;b0paHN2c2s87ZgQl8q3C2ZjEo5Gf9XAZjV8meDGXns2lR+2aJaBOMS6q5sH0eCfPZmmg+YRbtvBx&#10;0cUUx9xyitF7c+n6hcIt5WKxCCCcbs3cjVpr7qm9vgoWOwdlHbrnherVOemH8x06dNpFv0CX94B6&#10;/MeY/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PT41gAAAAoBAAAPAAAAAAAAAAEAIAAAACIA&#10;AABkcnMvZG93bnJldi54bWxQSwECFAAUAAAACACHTuJAaWD61kQCAAB5BAAADgAAAAAAAAABACAA&#10;AAAlAQAAZHJzL2Uyb0RvYy54bWxQSwUGAAAAAAYABgBZAQAA2wUAAAAA&#10;">
                <v:fill on="t" focussize="0,0"/>
                <v:stroke weight="0.5pt" color="#FFFFFF [3212]" joinstyle="round"/>
                <v:imagedata o:title=""/>
                <o:lock v:ext="edit" aspectratio="f"/>
                <v:textbox style="layout-flow:vertical-ideographic;">
                  <w:txbxContent>
                    <w:p>
                      <w:pPr>
                        <w:rPr>
                          <w:rFonts w:hint="eastAsia" w:eastAsiaTheme="minorEastAsia"/>
                          <w:lang w:eastAsia="zh-CN"/>
                        </w:rPr>
                      </w:pPr>
                      <w:r>
                        <w:rPr>
                          <w:rFonts w:hint="eastAsia" w:eastAsiaTheme="minorEastAsia"/>
                          <w:lang w:eastAsia="zh-CN"/>
                        </w:rPr>
                        <w:drawing>
                          <wp:inline distT="0" distB="0" distL="114300" distR="114300">
                            <wp:extent cx="3272790" cy="2804160"/>
                            <wp:effectExtent l="0" t="0" r="3810" b="15240"/>
                            <wp:docPr id="4" name="图片 4" descr="ea93c7d926afef4c0a6e20f19bc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93c7d926afef4c0a6e20f19bce272"/>
                                    <pic:cNvPicPr>
                                      <a:picLocks noChangeAspect="1"/>
                                    </pic:cNvPicPr>
                                  </pic:nvPicPr>
                                  <pic:blipFill>
                                    <a:blip r:embed="rId5"/>
                                    <a:stretch>
                                      <a:fillRect/>
                                    </a:stretch>
                                  </pic:blipFill>
                                  <pic:spPr>
                                    <a:xfrm>
                                      <a:off x="0" y="0"/>
                                      <a:ext cx="3272790" cy="2804160"/>
                                    </a:xfrm>
                                    <a:prstGeom prst="rect">
                                      <a:avLst/>
                                    </a:prstGeom>
                                  </pic:spPr>
                                </pic:pic>
                              </a:graphicData>
                            </a:graphic>
                          </wp:inline>
                        </w:drawing>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textAlignment w:val="auto"/>
        <w:rPr>
          <w:rFonts w:hint="default"/>
          <w:lang w:val="en-US" w:eastAsia="zh-CN"/>
        </w:rPr>
      </w:pPr>
    </w:p>
    <w:p>
      <w:pPr>
        <w:keepNext w:val="0"/>
        <w:keepLines w:val="0"/>
        <w:pageBreakBefore w:val="0"/>
        <w:kinsoku/>
        <w:wordWrap/>
        <w:overflowPunct/>
        <w:topLinePunct w:val="0"/>
        <w:autoSpaceDE/>
        <w:autoSpaceDN/>
        <w:bidi w:val="0"/>
        <w:adjustRightInd/>
        <w:snapToGrid/>
        <w:spacing w:line="600" w:lineRule="exact"/>
        <w:textAlignment w:val="auto"/>
        <w:rPr>
          <w:rFonts w:hint="default"/>
          <w:lang w:val="en-US" w:eastAsia="zh-CN"/>
        </w:rPr>
      </w:pPr>
    </w:p>
    <w:p>
      <w:pPr>
        <w:pStyle w:val="2"/>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Times New Roman" w:eastAsia="仿宋_GB2312" w:cs="仿宋_GB2312"/>
          <w:i w:val="0"/>
          <w:iCs w:val="0"/>
          <w:caps w:val="0"/>
          <w:color w:val="000000"/>
          <w:spacing w:val="0"/>
          <w:sz w:val="32"/>
          <w:szCs w:val="32"/>
        </w:rPr>
      </w:pPr>
      <w:r>
        <w:rPr>
          <w:rFonts w:hint="eastAsia" w:ascii="楷体_GB2312" w:hAnsi="楷体_GB2312" w:eastAsia="楷体_GB2312" w:cs="楷体_GB2312"/>
          <w:b w:val="0"/>
          <w:bCs w:val="0"/>
          <w:kern w:val="2"/>
          <w:sz w:val="32"/>
          <w:szCs w:val="32"/>
          <w:lang w:val="en-US" w:eastAsia="zh-CN" w:bidi="ar-SA"/>
        </w:rPr>
        <w:t>（二）依申请公开情况</w:t>
      </w:r>
      <w:r>
        <w:rPr>
          <w:rFonts w:hint="eastAsia" w:ascii="楷体_GB2312" w:hAnsi="楷体_GB2312" w:eastAsia="楷体_GB2312" w:cs="楷体_GB2312"/>
          <w:sz w:val="32"/>
          <w:szCs w:val="32"/>
          <w:lang w:val="en-US" w:eastAsia="zh-CN"/>
        </w:rPr>
        <w:t>：</w:t>
      </w:r>
      <w:r>
        <w:rPr>
          <w:rFonts w:hint="eastAsia" w:ascii="仿宋_GB2312" w:hAnsi="仿宋_GB2312" w:eastAsia="仿宋_GB2312" w:cs="仿宋_GB2312"/>
          <w:sz w:val="32"/>
          <w:szCs w:val="32"/>
          <w:lang w:val="en-US" w:eastAsia="zh-CN"/>
        </w:rPr>
        <w:t>制定印发《淄博文昌湖省级旅游度假区政府信息公开申请、登记、审核、办理、答复、归档工作制度》，进一步规范</w:t>
      </w:r>
      <w:r>
        <w:rPr>
          <w:rFonts w:hint="default" w:ascii="仿宋_GB2312" w:hAnsi="仿宋_GB2312" w:eastAsia="仿宋_GB2312" w:cs="仿宋_GB2312"/>
          <w:sz w:val="32"/>
          <w:szCs w:val="32"/>
          <w:lang w:val="en-US" w:eastAsia="zh-CN"/>
        </w:rPr>
        <w:t>政府信息依申请公开办理工作</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确保依申请公开情况有记录、可</w:t>
      </w:r>
      <w:r>
        <w:rPr>
          <w:rFonts w:hint="default" w:ascii="Times New Roman" w:hAnsi="Times New Roman" w:eastAsia="仿宋_GB2312" w:cs="Times New Roman"/>
          <w:sz w:val="32"/>
          <w:szCs w:val="32"/>
          <w:lang w:val="en-US" w:eastAsia="zh-CN"/>
        </w:rPr>
        <w:t>核查</w:t>
      </w:r>
      <w:r>
        <w:rPr>
          <w:rFonts w:ascii="仿宋_GB2312" w:hAnsi="宋体" w:eastAsia="仿宋_GB2312" w:cs="仿宋_GB2312"/>
          <w:i w:val="0"/>
          <w:iCs w:val="0"/>
          <w:caps w:val="0"/>
          <w:color w:val="000000"/>
          <w:spacing w:val="0"/>
          <w:sz w:val="32"/>
          <w:szCs w:val="32"/>
        </w:rPr>
        <w:t>。</w:t>
      </w:r>
      <w:r>
        <w:rPr>
          <w:rFonts w:hint="eastAsia" w:ascii="Times New Roman" w:hAnsi="Times New Roman" w:eastAsia="仿宋_GB2312" w:cs="Times New Roman"/>
          <w:sz w:val="32"/>
          <w:szCs w:val="32"/>
          <w:lang w:val="en-US" w:eastAsia="zh-CN"/>
        </w:rPr>
        <w:t>2021年，全区共收到政府信息公开申请16件（</w:t>
      </w:r>
      <w:r>
        <w:rPr>
          <w:rFonts w:ascii="仿宋_GB2312" w:hAnsi="Times New Roman" w:eastAsia="仿宋_GB2312" w:cs="仿宋_GB2312"/>
          <w:i w:val="0"/>
          <w:iCs w:val="0"/>
          <w:caps w:val="0"/>
          <w:color w:val="000000"/>
          <w:spacing w:val="0"/>
          <w:sz w:val="32"/>
          <w:szCs w:val="32"/>
        </w:rPr>
        <w:t>其中，区</w:t>
      </w:r>
      <w:r>
        <w:rPr>
          <w:rFonts w:hint="eastAsia" w:ascii="仿宋_GB2312" w:hAnsi="Times New Roman" w:eastAsia="仿宋_GB2312" w:cs="仿宋_GB2312"/>
          <w:i w:val="0"/>
          <w:iCs w:val="0"/>
          <w:caps w:val="0"/>
          <w:color w:val="000000"/>
          <w:spacing w:val="0"/>
          <w:sz w:val="32"/>
          <w:szCs w:val="32"/>
          <w:lang w:eastAsia="zh-CN"/>
        </w:rPr>
        <w:t>管委会</w:t>
      </w:r>
      <w:r>
        <w:rPr>
          <w:rFonts w:ascii="仿宋_GB2312" w:hAnsi="Times New Roman" w:eastAsia="仿宋_GB2312" w:cs="仿宋_GB2312"/>
          <w:i w:val="0"/>
          <w:iCs w:val="0"/>
          <w:caps w:val="0"/>
          <w:color w:val="000000"/>
          <w:spacing w:val="0"/>
          <w:sz w:val="32"/>
          <w:szCs w:val="32"/>
        </w:rPr>
        <w:t>受理</w:t>
      </w:r>
      <w:r>
        <w:rPr>
          <w:rFonts w:hint="eastAsia" w:ascii="Times New Roman" w:hAnsi="Times New Roman" w:eastAsia="宋体" w:cs="Times New Roman"/>
          <w:i w:val="0"/>
          <w:iCs w:val="0"/>
          <w:caps w:val="0"/>
          <w:color w:val="000000"/>
          <w:spacing w:val="0"/>
          <w:sz w:val="32"/>
          <w:szCs w:val="32"/>
          <w:lang w:val="en-US" w:eastAsia="zh-CN"/>
        </w:rPr>
        <w:t>4</w:t>
      </w:r>
      <w:r>
        <w:rPr>
          <w:rFonts w:hint="eastAsia" w:ascii="仿宋_GB2312" w:hAnsi="Times New Roman" w:eastAsia="仿宋_GB2312" w:cs="仿宋_GB2312"/>
          <w:i w:val="0"/>
          <w:iCs w:val="0"/>
          <w:caps w:val="0"/>
          <w:color w:val="000000"/>
          <w:spacing w:val="0"/>
          <w:sz w:val="32"/>
          <w:szCs w:val="32"/>
        </w:rPr>
        <w:t>件，</w:t>
      </w:r>
      <w:r>
        <w:rPr>
          <w:rFonts w:hint="eastAsia" w:ascii="Times New Roman" w:hAnsi="Times New Roman" w:eastAsia="仿宋_GB2312" w:cs="Times New Roman"/>
          <w:sz w:val="32"/>
          <w:szCs w:val="32"/>
          <w:lang w:val="en-US" w:eastAsia="zh-CN"/>
        </w:rPr>
        <w:t>各部门单位受理6件，萌水镇受理6件）。</w:t>
      </w:r>
      <w:r>
        <w:rPr>
          <w:rFonts w:hint="default" w:ascii="Times New Roman" w:hAnsi="Times New Roman" w:eastAsia="仿宋_GB2312" w:cs="Times New Roman"/>
          <w:i w:val="0"/>
          <w:iCs w:val="0"/>
          <w:caps w:val="0"/>
          <w:color w:val="000000"/>
          <w:spacing w:val="0"/>
          <w:sz w:val="32"/>
          <w:szCs w:val="32"/>
          <w:lang w:val="en-US" w:eastAsia="zh-CN"/>
        </w:rPr>
        <w:t>按时答复15件，</w:t>
      </w:r>
      <w:r>
        <w:rPr>
          <w:rFonts w:hint="default" w:ascii="Times New Roman" w:hAnsi="Times New Roman" w:eastAsia="仿宋_GB2312" w:cs="Times New Roman"/>
          <w:i w:val="0"/>
          <w:iCs w:val="0"/>
          <w:caps w:val="0"/>
          <w:color w:val="000000"/>
          <w:spacing w:val="0"/>
          <w:sz w:val="32"/>
          <w:szCs w:val="32"/>
        </w:rPr>
        <w:t>结转下年度继续办理</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件，答复率100%。政府信</w:t>
      </w:r>
      <w:r>
        <w:rPr>
          <w:rFonts w:hint="eastAsia" w:ascii="仿宋_GB2312" w:hAnsi="Times New Roman" w:eastAsia="仿宋_GB2312" w:cs="仿宋_GB2312"/>
          <w:i w:val="0"/>
          <w:iCs w:val="0"/>
          <w:caps w:val="0"/>
          <w:color w:val="000000"/>
          <w:spacing w:val="0"/>
          <w:sz w:val="32"/>
          <w:szCs w:val="32"/>
        </w:rPr>
        <w:t>息公开申请的内容主要</w:t>
      </w:r>
      <w:r>
        <w:rPr>
          <w:rFonts w:hint="eastAsia" w:ascii="仿宋_GB2312" w:hAnsi="Times New Roman" w:eastAsia="仿宋_GB2312" w:cs="仿宋_GB2312"/>
          <w:i w:val="0"/>
          <w:iCs w:val="0"/>
          <w:caps w:val="0"/>
          <w:color w:val="000000"/>
          <w:spacing w:val="0"/>
          <w:sz w:val="32"/>
          <w:szCs w:val="32"/>
          <w:lang w:eastAsia="zh-CN"/>
        </w:rPr>
        <w:t>集中在集体</w:t>
      </w:r>
      <w:r>
        <w:rPr>
          <w:rFonts w:hint="eastAsia" w:ascii="仿宋_GB2312" w:hAnsi="Times New Roman" w:eastAsia="仿宋_GB2312" w:cs="仿宋_GB2312"/>
          <w:i w:val="0"/>
          <w:iCs w:val="0"/>
          <w:caps w:val="0"/>
          <w:color w:val="000000"/>
          <w:spacing w:val="0"/>
          <w:sz w:val="32"/>
          <w:szCs w:val="32"/>
        </w:rPr>
        <w:t>土地征收、房屋补偿等</w:t>
      </w:r>
      <w:r>
        <w:rPr>
          <w:rFonts w:hint="eastAsia" w:ascii="仿宋_GB2312" w:hAnsi="Times New Roman" w:eastAsia="仿宋_GB2312" w:cs="仿宋_GB2312"/>
          <w:i w:val="0"/>
          <w:iCs w:val="0"/>
          <w:caps w:val="0"/>
          <w:color w:val="000000"/>
          <w:spacing w:val="0"/>
          <w:sz w:val="32"/>
          <w:szCs w:val="32"/>
          <w:lang w:eastAsia="zh-CN"/>
        </w:rPr>
        <w:t>领域</w:t>
      </w:r>
      <w:r>
        <w:rPr>
          <w:rFonts w:hint="eastAsia" w:ascii="仿宋_GB2312" w:hAnsi="Times New Roman" w:eastAsia="仿宋_GB2312" w:cs="仿宋_GB2312"/>
          <w:i w:val="0"/>
          <w:iCs w:val="0"/>
          <w:caps w:val="0"/>
          <w:color w:val="000000"/>
          <w:spacing w:val="0"/>
          <w:sz w:val="32"/>
          <w:szCs w:val="32"/>
        </w:rPr>
        <w:t>。全年未出现因政府信息依申请公开引起的行政复议、行政诉讼案件。</w:t>
      </w:r>
    </w:p>
    <w:p>
      <w:pPr>
        <w:pStyle w:val="2"/>
        <w:numPr>
          <w:ilvl w:val="0"/>
          <w:numId w:val="0"/>
        </w:numPr>
        <w:ind w:leftChars="200"/>
        <w:jc w:val="center"/>
        <w:outlineLvl w:val="0"/>
        <w:rPr>
          <w:rFonts w:hint="eastAsia"/>
          <w:lang w:val="en-US" w:eastAsia="zh-CN"/>
        </w:rPr>
      </w:pPr>
      <w:r>
        <w:rPr>
          <w:rFonts w:hint="eastAsia"/>
          <w:lang w:val="en-US" w:eastAsia="zh-CN"/>
        </w:rPr>
        <w:drawing>
          <wp:inline distT="0" distB="0" distL="114300" distR="114300">
            <wp:extent cx="2812415" cy="3762375"/>
            <wp:effectExtent l="0" t="0" r="6985" b="9525"/>
            <wp:docPr id="1" name="图片 1" descr="e45ed6ec8db5895c35597ceb0cdc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45ed6ec8db5895c35597ceb0cdc8c8"/>
                    <pic:cNvPicPr>
                      <a:picLocks noChangeAspect="1"/>
                    </pic:cNvPicPr>
                  </pic:nvPicPr>
                  <pic:blipFill>
                    <a:blip r:embed="rId6"/>
                    <a:stretch>
                      <a:fillRect/>
                    </a:stretch>
                  </pic:blipFill>
                  <pic:spPr>
                    <a:xfrm>
                      <a:off x="0" y="0"/>
                      <a:ext cx="2812415" cy="376237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（三）政府信息管理情况。</w:t>
      </w:r>
      <w:r>
        <w:rPr>
          <w:rFonts w:hint="default" w:ascii="Times New Roman" w:hAnsi="Times New Roman" w:eastAsia="仿宋_GB2312" w:cs="Times New Roman"/>
          <w:sz w:val="32"/>
          <w:szCs w:val="32"/>
          <w:lang w:val="en-US" w:eastAsia="zh-CN"/>
        </w:rPr>
        <w:t>制定印发《2021年淄博文昌湖省级旅游度假区政务公开工作要点》，明确责任分工，细化公开内容，及时公开信息。</w:t>
      </w:r>
      <w:r>
        <w:rPr>
          <w:rFonts w:hint="eastAsia" w:ascii="Times New Roman" w:hAnsi="Times New Roman" w:eastAsia="仿宋_GB2312" w:cs="Times New Roman"/>
          <w:sz w:val="32"/>
          <w:szCs w:val="32"/>
          <w:lang w:val="en-US" w:eastAsia="zh-CN"/>
        </w:rPr>
        <w:t>持续</w:t>
      </w:r>
      <w:r>
        <w:rPr>
          <w:rFonts w:hint="default" w:ascii="Times New Roman" w:hAnsi="Times New Roman" w:eastAsia="仿宋_GB2312" w:cs="Times New Roman"/>
          <w:sz w:val="32"/>
          <w:szCs w:val="32"/>
          <w:lang w:val="en-US" w:eastAsia="zh-CN"/>
        </w:rPr>
        <w:t>完善公文的公开属性源头认定和发布审查工作机制，坚持应公开尽公开原则，严格审核把关，对拟不公开的，依法依规说明理由，不断提升公文的公开比例。做好政府信息公开保密审查和个人信息保护，从源头上杜绝“应公开未公开、不应公开的随意公开”问题。</w:t>
      </w:r>
    </w:p>
    <w:p>
      <w:pPr>
        <w:pStyle w:val="2"/>
        <w:rPr>
          <w:rFonts w:hint="default"/>
          <w:lang w:val="en-US" w:eastAsia="zh-CN"/>
        </w:rPr>
      </w:pPr>
      <w:r>
        <w:drawing>
          <wp:inline distT="0" distB="0" distL="114300" distR="114300">
            <wp:extent cx="5680710" cy="4196715"/>
            <wp:effectExtent l="0" t="0" r="15240" b="133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5680710" cy="4196715"/>
                    </a:xfrm>
                    <a:prstGeom prst="rect">
                      <a:avLst/>
                    </a:prstGeom>
                    <a:noFill/>
                    <a:ln>
                      <a:noFill/>
                    </a:ln>
                  </pic:spPr>
                </pic:pic>
              </a:graphicData>
            </a:graphic>
          </wp:inline>
        </w:drawing>
      </w:r>
    </w:p>
    <w:p>
      <w:pPr>
        <w:pStyle w:val="2"/>
        <w:numPr>
          <w:ilvl w:val="0"/>
          <w:numId w:val="0"/>
        </w:numPr>
        <w:ind w:leftChars="200"/>
        <w:outlineLvl w:val="0"/>
        <w:rPr>
          <w:rFonts w:hint="default"/>
          <w:lang w:val="en-US" w:eastAsia="zh-CN"/>
        </w:rPr>
      </w:pPr>
      <w:r>
        <w:rPr>
          <w:rFonts w:hint="default"/>
          <w:lang w:val="en-US" w:eastAsia="zh-CN"/>
        </w:rPr>
        <w:drawing>
          <wp:inline distT="0" distB="0" distL="114300" distR="114300">
            <wp:extent cx="5340350" cy="1238250"/>
            <wp:effectExtent l="0" t="0" r="12700" b="0"/>
            <wp:docPr id="6" name="图片 6" descr="826de94265aa869405333b14defa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6de94265aa869405333b14defa322"/>
                    <pic:cNvPicPr>
                      <a:picLocks noChangeAspect="1"/>
                    </pic:cNvPicPr>
                  </pic:nvPicPr>
                  <pic:blipFill>
                    <a:blip r:embed="rId8"/>
                    <a:stretch>
                      <a:fillRect/>
                    </a:stretch>
                  </pic:blipFill>
                  <pic:spPr>
                    <a:xfrm>
                      <a:off x="0" y="0"/>
                      <a:ext cx="5340350" cy="123825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仿宋_GB2312" w:hAnsi="Times New Roman" w:eastAsia="仿宋_GB2312" w:cs="仿宋_GB2312"/>
          <w:i w:val="0"/>
          <w:iCs w:val="0"/>
          <w:caps w:val="0"/>
          <w:color w:val="000000"/>
          <w:spacing w:val="0"/>
          <w:sz w:val="32"/>
          <w:szCs w:val="32"/>
          <w:shd w:val="clear" w:fill="FFFFFF"/>
          <w:lang w:eastAsia="zh-CN"/>
        </w:rPr>
      </w:pPr>
      <w:r>
        <w:rPr>
          <w:rFonts w:hint="eastAsia" w:ascii="楷体_GB2312" w:hAnsi="楷体_GB2312" w:eastAsia="楷体_GB2312" w:cs="楷体_GB2312"/>
          <w:sz w:val="32"/>
          <w:szCs w:val="32"/>
          <w:lang w:val="en-US" w:eastAsia="zh-CN"/>
        </w:rPr>
        <w:t>（四）政府信息公开平台建设情况：</w:t>
      </w:r>
      <w:r>
        <w:rPr>
          <w:rFonts w:hint="eastAsia" w:ascii="仿宋_GB2312" w:hAnsi="仿宋_GB2312" w:eastAsia="仿宋_GB2312" w:cs="仿宋_GB2312"/>
          <w:sz w:val="32"/>
          <w:szCs w:val="32"/>
          <w:lang w:val="en-US" w:eastAsia="zh-CN"/>
        </w:rPr>
        <w:t>一是优化栏目设置，</w:t>
      </w:r>
      <w:r>
        <w:rPr>
          <w:rFonts w:hint="default" w:ascii="仿宋_GB2312" w:hAnsi="仿宋_GB2312" w:eastAsia="仿宋_GB2312" w:cs="仿宋_GB2312"/>
          <w:sz w:val="32"/>
          <w:szCs w:val="32"/>
          <w:lang w:val="en-US" w:eastAsia="zh-CN"/>
        </w:rPr>
        <w:t>充分利用政务公开平台进行政府信息公开，</w:t>
      </w:r>
      <w:r>
        <w:rPr>
          <w:rFonts w:hint="eastAsia" w:ascii="仿宋_GB2312" w:hAnsi="仿宋_GB2312" w:eastAsia="仿宋_GB2312" w:cs="仿宋_GB2312"/>
          <w:sz w:val="32"/>
          <w:szCs w:val="32"/>
          <w:lang w:val="en-US" w:eastAsia="zh-CN"/>
        </w:rPr>
        <w:t>新增“政府会议解读、公务员考录、疫情防控”等多个栏目，栏目设置更加科学合理，</w:t>
      </w:r>
      <w:r>
        <w:rPr>
          <w:rFonts w:ascii="仿宋_GB2312" w:hAnsi="宋体" w:eastAsia="仿宋_GB2312" w:cs="仿宋_GB2312"/>
          <w:i w:val="0"/>
          <w:iCs w:val="0"/>
          <w:caps w:val="0"/>
          <w:color w:val="000000"/>
          <w:spacing w:val="0"/>
          <w:sz w:val="32"/>
          <w:szCs w:val="32"/>
          <w:shd w:val="clear" w:fill="FFFFFF"/>
        </w:rPr>
        <w:t>更加便民利民。</w:t>
      </w:r>
      <w:r>
        <w:rPr>
          <w:rFonts w:hint="eastAsia" w:ascii="仿宋_GB2312" w:hAnsi="仿宋_GB2312" w:eastAsia="仿宋_GB2312" w:cs="仿宋_GB2312"/>
          <w:sz w:val="32"/>
          <w:szCs w:val="32"/>
          <w:lang w:val="en-US" w:eastAsia="zh-CN"/>
        </w:rPr>
        <w:t>对</w:t>
      </w:r>
      <w:r>
        <w:rPr>
          <w:rFonts w:hint="default" w:ascii="仿宋_GB2312" w:hAnsi="仿宋_GB2312" w:eastAsia="仿宋_GB2312" w:cs="仿宋_GB2312"/>
          <w:sz w:val="32"/>
          <w:szCs w:val="32"/>
          <w:lang w:val="en-US" w:eastAsia="zh-CN"/>
        </w:rPr>
        <w:t>所设置栏目按照要求及时进行内容维护</w:t>
      </w:r>
      <w:r>
        <w:rPr>
          <w:rFonts w:hint="eastAsia" w:ascii="仿宋_GB2312" w:hAnsi="仿宋_GB2312" w:eastAsia="仿宋_GB2312" w:cs="仿宋_GB2312"/>
          <w:sz w:val="32"/>
          <w:szCs w:val="32"/>
          <w:lang w:val="en-US" w:eastAsia="zh-CN"/>
        </w:rPr>
        <w:t>，杜绝出现</w:t>
      </w:r>
      <w:r>
        <w:rPr>
          <w:rFonts w:ascii="仿宋_GB2312" w:hAnsi="宋体" w:eastAsia="仿宋_GB2312" w:cs="仿宋_GB2312"/>
          <w:i w:val="0"/>
          <w:iCs w:val="0"/>
          <w:caps w:val="0"/>
          <w:color w:val="000000"/>
          <w:spacing w:val="0"/>
          <w:sz w:val="32"/>
          <w:szCs w:val="32"/>
          <w:shd w:val="clear" w:fill="FFFFFF"/>
        </w:rPr>
        <w:t>政府网站空白栏目和长期不更新</w:t>
      </w:r>
      <w:r>
        <w:rPr>
          <w:rFonts w:hint="eastAsia" w:ascii="仿宋_GB2312" w:hAnsi="宋体" w:eastAsia="仿宋_GB2312" w:cs="仿宋_GB2312"/>
          <w:i w:val="0"/>
          <w:iCs w:val="0"/>
          <w:caps w:val="0"/>
          <w:color w:val="000000"/>
          <w:spacing w:val="0"/>
          <w:sz w:val="32"/>
          <w:szCs w:val="32"/>
          <w:shd w:val="clear" w:fill="FFFFFF"/>
          <w:lang w:eastAsia="zh-CN"/>
        </w:rPr>
        <w:t>的情况。二是提供全站站内搜索，强化搜索功能，提供文件名、文号、关键词模糊搜索等便捷渠道，实现“搜索即服务”。</w:t>
      </w:r>
      <w:r>
        <w:rPr>
          <w:rFonts w:hint="default" w:ascii="Times New Roman" w:hAnsi="Times New Roman" w:eastAsia="仿宋_GB2312" w:cs="Times New Roman"/>
          <w:sz w:val="32"/>
          <w:szCs w:val="32"/>
          <w:lang w:val="en-US" w:eastAsia="zh-CN"/>
        </w:rPr>
        <w:t>做好</w:t>
      </w:r>
      <w:r>
        <w:rPr>
          <w:rFonts w:hint="eastAsia" w:ascii="Times New Roman" w:hAnsi="Times New Roman" w:eastAsia="仿宋_GB2312" w:cs="Times New Roman"/>
          <w:sz w:val="32"/>
          <w:szCs w:val="32"/>
          <w:lang w:val="en-US" w:eastAsia="zh-CN"/>
        </w:rPr>
        <w:t>政策性</w:t>
      </w:r>
      <w:r>
        <w:rPr>
          <w:rFonts w:hint="default" w:ascii="Times New Roman" w:hAnsi="Times New Roman" w:eastAsia="仿宋_GB2312" w:cs="Times New Roman"/>
          <w:sz w:val="32"/>
          <w:szCs w:val="32"/>
          <w:lang w:val="en-US" w:eastAsia="zh-CN"/>
        </w:rPr>
        <w:t>文件有效性标识及与政策解读材料的链接，方便公众查询获取。</w:t>
      </w:r>
      <w:r>
        <w:rPr>
          <w:rFonts w:hint="eastAsia" w:ascii="仿宋_GB2312" w:hAnsi="宋体" w:eastAsia="仿宋_GB2312" w:cs="仿宋_GB2312"/>
          <w:i w:val="0"/>
          <w:iCs w:val="0"/>
          <w:caps w:val="0"/>
          <w:color w:val="000000"/>
          <w:spacing w:val="0"/>
          <w:sz w:val="32"/>
          <w:szCs w:val="32"/>
          <w:shd w:val="clear" w:fill="FFFFFF"/>
          <w:lang w:eastAsia="zh-CN"/>
        </w:rPr>
        <w:t>三是</w:t>
      </w:r>
      <w:r>
        <w:rPr>
          <w:rFonts w:ascii="仿宋_GB2312" w:hAnsi="Times New Roman" w:eastAsia="仿宋_GB2312" w:cs="仿宋_GB2312"/>
          <w:i w:val="0"/>
          <w:iCs w:val="0"/>
          <w:caps w:val="0"/>
          <w:color w:val="000000"/>
          <w:spacing w:val="0"/>
          <w:sz w:val="32"/>
          <w:szCs w:val="32"/>
          <w:shd w:val="clear" w:fill="FFFFFF"/>
        </w:rPr>
        <w:t>在政务服务大厅</w:t>
      </w:r>
      <w:r>
        <w:rPr>
          <w:rFonts w:hint="eastAsia" w:ascii="仿宋_GB2312" w:hAnsi="Times New Roman" w:eastAsia="仿宋_GB2312" w:cs="仿宋_GB2312"/>
          <w:i w:val="0"/>
          <w:iCs w:val="0"/>
          <w:caps w:val="0"/>
          <w:color w:val="000000"/>
          <w:spacing w:val="0"/>
          <w:sz w:val="32"/>
          <w:szCs w:val="32"/>
          <w:shd w:val="clear" w:fill="FFFFFF"/>
        </w:rPr>
        <w:t>设立政务公开专区</w:t>
      </w:r>
      <w:r>
        <w:rPr>
          <w:rFonts w:hint="eastAsia" w:ascii="仿宋_GB2312" w:hAnsi="Times New Roman" w:eastAsia="仿宋_GB2312" w:cs="仿宋_GB2312"/>
          <w:i w:val="0"/>
          <w:iCs w:val="0"/>
          <w:caps w:val="0"/>
          <w:color w:val="000000"/>
          <w:spacing w:val="0"/>
          <w:sz w:val="32"/>
          <w:szCs w:val="32"/>
          <w:shd w:val="clear" w:fill="FFFFFF"/>
          <w:lang w:eastAsia="zh-CN"/>
        </w:rPr>
        <w:t>，方便群众查阅。</w:t>
      </w:r>
    </w:p>
    <w:p>
      <w:pPr>
        <w:pStyle w:val="2"/>
        <w:numPr>
          <w:ilvl w:val="0"/>
          <w:numId w:val="0"/>
        </w:numPr>
        <w:ind w:leftChars="200"/>
        <w:outlineLvl w:val="0"/>
        <w:rPr>
          <w:rFonts w:hint="eastAsia"/>
          <w:lang w:eastAsia="zh-CN"/>
        </w:rPr>
      </w:pPr>
      <w:r>
        <w:drawing>
          <wp:inline distT="0" distB="0" distL="114300" distR="114300">
            <wp:extent cx="5815965" cy="2266950"/>
            <wp:effectExtent l="0" t="0" r="133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815965" cy="2266950"/>
                    </a:xfrm>
                    <a:prstGeom prst="rect">
                      <a:avLst/>
                    </a:prstGeom>
                    <a:noFill/>
                    <a:ln>
                      <a:noFill/>
                    </a:ln>
                  </pic:spPr>
                </pic:pic>
              </a:graphicData>
            </a:graphic>
          </wp:inline>
        </w:drawing>
      </w:r>
    </w:p>
    <w:p>
      <w:pPr>
        <w:pStyle w:val="2"/>
        <w:jc w:val="center"/>
        <w:rPr>
          <w:rFonts w:hint="eastAsia" w:ascii="楷体_GB2312" w:hAnsi="楷体_GB2312" w:eastAsia="楷体_GB2312" w:cs="楷体_GB2312"/>
          <w:sz w:val="32"/>
          <w:szCs w:val="32"/>
          <w:lang w:val="en-US" w:eastAsia="zh-CN"/>
        </w:rPr>
      </w:pPr>
      <w:r>
        <w:drawing>
          <wp:inline distT="0" distB="0" distL="114300" distR="114300">
            <wp:extent cx="6097270" cy="1734820"/>
            <wp:effectExtent l="0" t="0" r="17780"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097270" cy="173482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监督保障情况：</w:t>
      </w:r>
      <w:r>
        <w:rPr>
          <w:rFonts w:hint="eastAsia" w:ascii="仿宋" w:hAnsi="仿宋" w:eastAsia="仿宋" w:cs="仿宋"/>
          <w:b w:val="0"/>
          <w:bCs w:val="0"/>
          <w:i w:val="0"/>
          <w:iCs w:val="0"/>
          <w:caps w:val="0"/>
          <w:color w:val="000000"/>
          <w:spacing w:val="0"/>
          <w:kern w:val="2"/>
          <w:sz w:val="32"/>
          <w:szCs w:val="32"/>
          <w:shd w:val="clear" w:fill="FFFFFF"/>
          <w:lang w:val="en-US" w:eastAsia="zh-CN" w:bidi="ar-SA"/>
        </w:rPr>
        <w:t>结合工作实际，</w:t>
      </w:r>
      <w:r>
        <w:rPr>
          <w:rFonts w:hint="default" w:ascii="仿宋" w:hAnsi="仿宋" w:eastAsia="仿宋" w:cs="仿宋"/>
          <w:b w:val="0"/>
          <w:bCs w:val="0"/>
          <w:i w:val="0"/>
          <w:iCs w:val="0"/>
          <w:caps w:val="0"/>
          <w:color w:val="000000"/>
          <w:spacing w:val="0"/>
          <w:kern w:val="2"/>
          <w:sz w:val="32"/>
          <w:szCs w:val="32"/>
          <w:shd w:val="clear" w:fill="FFFFFF"/>
          <w:lang w:val="en-US" w:eastAsia="zh-CN" w:bidi="ar-SA"/>
        </w:rPr>
        <w:t>及时调整</w:t>
      </w:r>
      <w:r>
        <w:rPr>
          <w:rFonts w:hint="eastAsia" w:ascii="仿宋" w:hAnsi="仿宋" w:eastAsia="仿宋" w:cs="仿宋"/>
          <w:b w:val="0"/>
          <w:bCs w:val="0"/>
          <w:i w:val="0"/>
          <w:iCs w:val="0"/>
          <w:caps w:val="0"/>
          <w:color w:val="000000"/>
          <w:spacing w:val="0"/>
          <w:kern w:val="2"/>
          <w:sz w:val="32"/>
          <w:szCs w:val="32"/>
          <w:shd w:val="clear" w:fill="FFFFFF"/>
          <w:lang w:val="en-US" w:eastAsia="zh-CN" w:bidi="ar-SA"/>
        </w:rPr>
        <w:t>全区政务公开</w:t>
      </w:r>
      <w:r>
        <w:rPr>
          <w:rFonts w:hint="default" w:ascii="仿宋" w:hAnsi="仿宋" w:eastAsia="仿宋" w:cs="仿宋"/>
          <w:b w:val="0"/>
          <w:bCs w:val="0"/>
          <w:i w:val="0"/>
          <w:iCs w:val="0"/>
          <w:caps w:val="0"/>
          <w:color w:val="000000"/>
          <w:spacing w:val="0"/>
          <w:kern w:val="2"/>
          <w:sz w:val="32"/>
          <w:szCs w:val="32"/>
          <w:shd w:val="clear" w:fill="FFFFFF"/>
          <w:lang w:val="en-US" w:eastAsia="zh-CN" w:bidi="ar-SA"/>
        </w:rPr>
        <w:t>领导小组，</w:t>
      </w:r>
      <w:r>
        <w:rPr>
          <w:rFonts w:hint="eastAsia" w:ascii="仿宋" w:hAnsi="仿宋" w:eastAsia="仿宋" w:cs="仿宋"/>
          <w:b w:val="0"/>
          <w:bCs w:val="0"/>
          <w:i w:val="0"/>
          <w:iCs w:val="0"/>
          <w:caps w:val="0"/>
          <w:color w:val="000000"/>
          <w:spacing w:val="0"/>
          <w:kern w:val="2"/>
          <w:sz w:val="32"/>
          <w:szCs w:val="32"/>
          <w:shd w:val="clear" w:fill="FFFFFF"/>
          <w:lang w:val="en-US" w:eastAsia="zh-CN" w:bidi="ar-SA"/>
        </w:rPr>
        <w:t>压实工作责任。</w:t>
      </w:r>
      <w:r>
        <w:rPr>
          <w:rFonts w:ascii="仿宋_GB2312" w:hAnsi="宋体" w:eastAsia="仿宋_GB2312" w:cs="仿宋_GB2312"/>
          <w:i w:val="0"/>
          <w:iCs w:val="0"/>
          <w:caps w:val="0"/>
          <w:color w:val="000000"/>
          <w:spacing w:val="0"/>
          <w:sz w:val="32"/>
          <w:szCs w:val="32"/>
          <w:shd w:val="clear" w:fill="FFFFFF"/>
        </w:rPr>
        <w:t>将政务公开纳入全区经济社会发展综合考核</w:t>
      </w:r>
      <w:r>
        <w:rPr>
          <w:rFonts w:hint="eastAsia" w:ascii="仿宋_GB2312" w:hAnsi="宋体" w:eastAsia="仿宋_GB2312" w:cs="仿宋_GB2312"/>
          <w:i w:val="0"/>
          <w:iCs w:val="0"/>
          <w:caps w:val="0"/>
          <w:color w:val="000000"/>
          <w:spacing w:val="0"/>
          <w:sz w:val="32"/>
          <w:szCs w:val="32"/>
          <w:shd w:val="clear" w:fill="FFFFFF"/>
          <w:lang w:eastAsia="zh-CN"/>
        </w:rPr>
        <w:t>，</w:t>
      </w:r>
      <w:r>
        <w:rPr>
          <w:rFonts w:hint="default" w:ascii="Times New Roman" w:hAnsi="Times New Roman" w:eastAsia="仿宋_GB2312" w:cs="Times New Roman"/>
          <w:sz w:val="32"/>
          <w:szCs w:val="32"/>
          <w:lang w:val="en-US" w:eastAsia="zh-CN"/>
        </w:rPr>
        <w:t>对</w:t>
      </w:r>
      <w:r>
        <w:rPr>
          <w:rFonts w:hint="eastAsia" w:ascii="Times New Roman" w:hAnsi="Times New Roman" w:eastAsia="仿宋_GB2312" w:cs="Times New Roman"/>
          <w:sz w:val="32"/>
          <w:szCs w:val="32"/>
          <w:lang w:val="en-US" w:eastAsia="zh-CN"/>
        </w:rPr>
        <w:t>各镇、各部门</w:t>
      </w:r>
      <w:r>
        <w:rPr>
          <w:rFonts w:hint="default" w:ascii="Times New Roman" w:hAnsi="Times New Roman" w:eastAsia="仿宋_GB2312" w:cs="Times New Roman"/>
          <w:sz w:val="32"/>
          <w:szCs w:val="32"/>
          <w:lang w:val="en-US" w:eastAsia="zh-CN"/>
        </w:rPr>
        <w:t>政务信息公开的内容进行监督检查，定期通报，督促问题整改落实到位，推动政务公开工作提质增效。并通过微信交流、电话交流等多种形式加强日常工作交</w:t>
      </w:r>
      <w:r>
        <w:rPr>
          <w:rFonts w:hint="default" w:ascii="Times New Roman" w:hAnsi="Times New Roman" w:eastAsia="仿宋_GB2312" w:cs="Times New Roman"/>
          <w:i w:val="0"/>
          <w:iCs w:val="0"/>
          <w:caps w:val="0"/>
          <w:color w:val="000000"/>
          <w:spacing w:val="0"/>
          <w:sz w:val="32"/>
          <w:szCs w:val="32"/>
        </w:rPr>
        <w:t>流。</w:t>
      </w:r>
      <w:r>
        <w:rPr>
          <w:rFonts w:hint="default" w:ascii="Times New Roman" w:hAnsi="Times New Roman" w:eastAsia="仿宋_GB2312" w:cs="Times New Roman"/>
          <w:sz w:val="32"/>
          <w:szCs w:val="32"/>
          <w:lang w:val="en-US" w:eastAsia="zh-CN"/>
        </w:rPr>
        <w:t>开展政务公开工作培训，</w:t>
      </w:r>
      <w:r>
        <w:rPr>
          <w:rFonts w:hint="eastAsia" w:ascii="Times New Roman" w:hAnsi="Times New Roman" w:eastAsia="仿宋_GB2312" w:cs="Times New Roman"/>
          <w:sz w:val="32"/>
          <w:szCs w:val="32"/>
          <w:lang w:val="en-US" w:eastAsia="zh-CN"/>
        </w:rPr>
        <w:t>进一步推进</w:t>
      </w:r>
      <w:r>
        <w:rPr>
          <w:rFonts w:hint="default" w:ascii="Times New Roman" w:hAnsi="Times New Roman" w:eastAsia="仿宋_GB2312" w:cs="Times New Roman"/>
          <w:sz w:val="32"/>
          <w:szCs w:val="32"/>
          <w:lang w:val="en-US" w:eastAsia="zh-CN"/>
        </w:rPr>
        <w:t>政务公开标准化规范化工作。</w:t>
      </w:r>
    </w:p>
    <w:p>
      <w:pPr>
        <w:pStyle w:val="2"/>
        <w:numPr>
          <w:ilvl w:val="0"/>
          <w:numId w:val="0"/>
        </w:numPr>
        <w:jc w:val="center"/>
        <w:outlineLvl w:val="0"/>
        <w:rPr>
          <w:rFonts w:hint="default"/>
          <w:lang w:val="en-US" w:eastAsia="zh-CN"/>
        </w:rPr>
      </w:pPr>
      <w:r>
        <w:rPr>
          <w:rFonts w:hint="default"/>
          <w:lang w:val="en-US" w:eastAsia="zh-CN"/>
        </w:rPr>
        <w:drawing>
          <wp:inline distT="0" distB="0" distL="114300" distR="114300">
            <wp:extent cx="2301875" cy="3143885"/>
            <wp:effectExtent l="0" t="0" r="3175" b="18415"/>
            <wp:docPr id="7" name="图片 7" descr="dc2346085e057730ac0d44112bab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2346085e057730ac0d44112bab09c"/>
                    <pic:cNvPicPr>
                      <a:picLocks noChangeAspect="1"/>
                    </pic:cNvPicPr>
                  </pic:nvPicPr>
                  <pic:blipFill>
                    <a:blip r:embed="rId11"/>
                    <a:stretch>
                      <a:fillRect/>
                    </a:stretch>
                  </pic:blipFill>
                  <pic:spPr>
                    <a:xfrm>
                      <a:off x="0" y="0"/>
                      <a:ext cx="2301875" cy="3143885"/>
                    </a:xfrm>
                    <a:prstGeom prst="rect">
                      <a:avLst/>
                    </a:prstGeom>
                  </pic:spPr>
                </pic:pic>
              </a:graphicData>
            </a:graphic>
          </wp:inline>
        </w:drawing>
      </w:r>
    </w:p>
    <w:p>
      <w:pPr>
        <w:rPr>
          <w:rFonts w:hint="default"/>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r>
        <w:rPr>
          <w:sz w:val="32"/>
        </w:rPr>
        <mc:AlternateContent>
          <mc:Choice Requires="wps">
            <w:drawing>
              <wp:anchor distT="0" distB="0" distL="114300" distR="114300" simplePos="0" relativeHeight="251661312" behindDoc="0" locked="0" layoutInCell="1" allowOverlap="1">
                <wp:simplePos x="0" y="0"/>
                <wp:positionH relativeFrom="column">
                  <wp:posOffset>460375</wp:posOffset>
                </wp:positionH>
                <wp:positionV relativeFrom="paragraph">
                  <wp:posOffset>-21590</wp:posOffset>
                </wp:positionV>
                <wp:extent cx="4400550" cy="2894965"/>
                <wp:effectExtent l="4445" t="4445" r="14605" b="15240"/>
                <wp:wrapNone/>
                <wp:docPr id="8" name="文本框 8"/>
                <wp:cNvGraphicFramePr/>
                <a:graphic xmlns:a="http://schemas.openxmlformats.org/drawingml/2006/main">
                  <a:graphicData uri="http://schemas.microsoft.com/office/word/2010/wordprocessingShape">
                    <wps:wsp>
                      <wps:cNvSpPr txBox="1"/>
                      <wps:spPr>
                        <a:xfrm>
                          <a:off x="1432560" y="1310640"/>
                          <a:ext cx="4400550" cy="28949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3721735" cy="2740025"/>
                                  <wp:effectExtent l="0" t="0" r="12065" b="3175"/>
                                  <wp:docPr id="12" name="图片 12" descr="9e561fede058de3ecf2418f2f9b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e561fede058de3ecf2418f2f9b3034"/>
                                          <pic:cNvPicPr>
                                            <a:picLocks noChangeAspect="1"/>
                                          </pic:cNvPicPr>
                                        </pic:nvPicPr>
                                        <pic:blipFill>
                                          <a:blip r:embed="rId12"/>
                                          <a:stretch>
                                            <a:fillRect/>
                                          </a:stretch>
                                        </pic:blipFill>
                                        <pic:spPr>
                                          <a:xfrm>
                                            <a:off x="0" y="0"/>
                                            <a:ext cx="3721735" cy="2740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1.7pt;height:227.95pt;width:346.5pt;z-index:251661312;mso-width-relative:page;mso-height-relative:page;" fillcolor="#FFFFFF [3201]" filled="t" stroked="t" coordsize="21600,21600" o:gfxdata="UEsDBAoAAAAAAIdO4kAAAAAAAAAAAAAAAAAEAAAAZHJzL1BLAwQUAAAACACHTuJAHzzKq9cAAAAJ&#10;AQAADwAAAGRycy9kb3ducmV2LnhtbE2PTU+DQBCG7yb+h82YeGuX1tISZOjBxJsxoX4etzAFIjtL&#10;2QXqv3c86XHmefPOM9n+Yjs10eBbxwirZQSKuHRVyzXC68vjIgHlg+HKdI4J4Zs87PPrq8yklZu5&#10;oOkQaiUl7FOD0ITQp1r7siFr/NL1xMJObrAmyDjUuhrMLOW20+so2mprWpYLjenpoaHy6zBahOdp&#10;dG/1e1x+8Odc+OR0Lp6SM+LtzSq6BxXoEv7C8Ksv6pCL09GNXHnVIezWsSQRFncbUMJ321gWR4RN&#10;LETnmf7/Qf4DUEsDBBQAAAAIAIdO4kBJKX+1PAIAAHcEAAAOAAAAZHJzL2Uyb0RvYy54bWytVM2O&#10;2jAQvlfqO1i+lwQIFBBhRVlRVULdlWjVs3EcEsnxuLYhoQ/QvsGeeum9z8VzdOyEXfpzWpWDmfF8&#10;+jzzzUzmN00lyVEYW4JKab8XUyIUh6xU+5R+/LB+NaHEOqYyJkGJlJ6EpTeLly/mtZ6JARQgM2EI&#10;kig7q3VKC+f0LIosL0TFbA+0UBjMwVTMoWv2UWZYjeyVjAZxPI5qMJk2wIW1eHvbBuki8Oe54O4u&#10;z61wRKYUc3PhNOHc+TNazNlsb5guSt6lwZ6RRcVKhY8+Ut0yx8jBlH9RVSU3YCF3PQ5VBHlechFq&#10;wGr68R/VbAumRagFxbH6USb7/2j5++O9IWWWUmyUYhW26Pzw7fz95/nHVzLx8tTazhC11YhzzRto&#10;sM2Xe4uXvuomN5X/x3qIjyfDwWiMcp/QHvbjcdIJLRpHOAKSJI5HIwRwRAwm02Q6HnnO6IlKG+ve&#10;CqiIN1JqsJNBYHbcWNdCLxD/sgVZZutSyuCY/W4lDTky7Po6/Dr232BSkTql4yEm8jwKTFcqzNpL&#10;1ErhLdfsmk63HWQnlM1AO3dW83WJ5WyYdffM4KChBLg87g6PXAJmA51FSQHmy7/uPR77j1FKahzc&#10;lNrPB2YEJfKdwsmY9lFdnPTgJKPXA3TMdWR3HVGHagWoUh/XVPNgeryTFzM3UH3CHVv6VzHEFMe3&#10;U+ou5sq164Q7ysVyGUA425q5jdpq7qm9ugqWBwd5GXrnZWq16dTD6Q7d7zbRr8+1H1BP34v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88yqvXAAAACQEAAA8AAAAAAAAAAQAgAAAAIgAAAGRycy9k&#10;b3ducmV2LnhtbFBLAQIUABQAAAAIAIdO4kBJKX+1PAIAAHcEAAAOAAAAAAAAAAEAIAAAACYBAABk&#10;cnMvZTJvRG9jLnhtbFBLBQYAAAAABgAGAFkBAADUBQAAAAA=&#10;">
                <v:fill on="t" focussize="0,0"/>
                <v:stroke weight="0.5pt" color="#FFFFFF [3212]"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3721735" cy="2740025"/>
                            <wp:effectExtent l="0" t="0" r="12065" b="3175"/>
                            <wp:docPr id="12" name="图片 12" descr="9e561fede058de3ecf2418f2f9b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e561fede058de3ecf2418f2f9b3034"/>
                                    <pic:cNvPicPr>
                                      <a:picLocks noChangeAspect="1"/>
                                    </pic:cNvPicPr>
                                  </pic:nvPicPr>
                                  <pic:blipFill>
                                    <a:blip r:embed="rId12"/>
                                    <a:stretch>
                                      <a:fillRect/>
                                    </a:stretch>
                                  </pic:blipFill>
                                  <pic:spPr>
                                    <a:xfrm>
                                      <a:off x="0" y="0"/>
                                      <a:ext cx="3721735" cy="2740025"/>
                                    </a:xfrm>
                                    <a:prstGeom prst="rect">
                                      <a:avLst/>
                                    </a:prstGeom>
                                  </pic:spPr>
                                </pic:pic>
                              </a:graphicData>
                            </a:graphic>
                          </wp:inline>
                        </w:drawing>
                      </w: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shd w:val="clear" w:fill="FFFFFF"/>
        </w:rPr>
        <w:t>二、主动公开政府信息情况</w:t>
      </w:r>
    </w:p>
    <w:tbl>
      <w:tblPr>
        <w:tblStyle w:val="6"/>
        <w:tblW w:w="9740" w:type="dxa"/>
        <w:jc w:val="center"/>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35"/>
        <w:gridCol w:w="2435"/>
        <w:gridCol w:w="2435"/>
        <w:gridCol w:w="2435"/>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9740" w:type="dxa"/>
            <w:gridSpan w:val="4"/>
            <w:tcBorders>
              <w:top w:val="single" w:color="auto" w:sz="8" w:space="0"/>
              <w:left w:val="single" w:color="auto" w:sz="8" w:space="0"/>
              <w:bottom w:val="single" w:color="auto" w:sz="8" w:space="0"/>
              <w:right w:val="single" w:color="auto" w:sz="8" w:space="0"/>
            </w:tcBorders>
            <w:shd w:val="clear" w:color="auto" w:fill="C6D9F1"/>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第二十条第（一）项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信息内容</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本年</w:t>
            </w:r>
            <w:r>
              <w:rPr>
                <w:rFonts w:hint="eastAsia" w:ascii="宋体" w:hAnsi="宋体" w:eastAsia="宋体" w:cs="宋体"/>
                <w:sz w:val="20"/>
                <w:szCs w:val="20"/>
              </w:rPr>
              <w:t>制发件数</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本年废止件数</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现行有效件</w:t>
            </w:r>
            <w:r>
              <w:rPr>
                <w:rFonts w:hint="eastAsia" w:ascii="宋体" w:hAnsi="宋体" w:eastAsia="宋体" w:cs="宋体"/>
                <w:sz w:val="20"/>
                <w:szCs w:val="20"/>
              </w:rPr>
              <w:t>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规章</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行政规范性文件</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243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第二十条第（五）项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信息内容</w:t>
            </w:r>
          </w:p>
        </w:tc>
        <w:tc>
          <w:tcPr>
            <w:tcW w:w="7305"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本年处理决定数量</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行政许可</w:t>
            </w:r>
          </w:p>
        </w:tc>
        <w:tc>
          <w:tcPr>
            <w:tcW w:w="7305"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sz w:val="24"/>
                <w:szCs w:val="24"/>
                <w:lang w:val="en-US" w:eastAsia="zh-CN"/>
              </w:rPr>
              <w:t>1954</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第二十条第（六）项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信息内容</w:t>
            </w:r>
          </w:p>
        </w:tc>
        <w:tc>
          <w:tcPr>
            <w:tcW w:w="7305"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本年处理决定数量</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行政处罚</w:t>
            </w:r>
          </w:p>
        </w:tc>
        <w:tc>
          <w:tcPr>
            <w:tcW w:w="7305"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sz w:val="24"/>
                <w:szCs w:val="24"/>
                <w:lang w:val="en-US" w:eastAsia="zh-CN"/>
              </w:rPr>
              <w:t>606</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行政强制</w:t>
            </w:r>
          </w:p>
        </w:tc>
        <w:tc>
          <w:tcPr>
            <w:tcW w:w="7305" w:type="dxa"/>
            <w:gridSpan w:val="3"/>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val="en-US" w:eastAsia="zh-CN"/>
              </w:rPr>
            </w:pPr>
            <w:r>
              <w:rPr>
                <w:rFonts w:hint="eastAsia"/>
                <w:sz w:val="24"/>
                <w:szCs w:val="24"/>
                <w:lang w:val="en-US" w:eastAsia="zh-CN"/>
              </w:rPr>
              <w:t>5</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9740" w:type="dxa"/>
            <w:gridSpan w:val="4"/>
            <w:tcBorders>
              <w:top w:val="nil"/>
              <w:left w:val="single" w:color="auto" w:sz="8" w:space="0"/>
              <w:bottom w:val="single" w:color="auto" w:sz="8" w:space="0"/>
              <w:right w:val="single" w:color="auto" w:sz="8" w:space="0"/>
            </w:tcBorders>
            <w:shd w:val="clear" w:color="auto" w:fill="C6D9F1"/>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第二十条第（八）项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4"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信息内容</w:t>
            </w:r>
          </w:p>
        </w:tc>
        <w:tc>
          <w:tcPr>
            <w:tcW w:w="7305" w:type="dxa"/>
            <w:gridSpan w:val="3"/>
            <w:tcBorders>
              <w:top w:val="nil"/>
              <w:left w:val="nil"/>
              <w:bottom w:val="single" w:color="auto" w:sz="8" w:space="0"/>
              <w:right w:val="single" w:color="000000"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本年收费金额（单位：万元）</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68" w:hRule="atLeast"/>
          <w:jc w:val="center"/>
        </w:trPr>
        <w:tc>
          <w:tcPr>
            <w:tcW w:w="2435" w:type="dxa"/>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行政事业性收费</w:t>
            </w:r>
          </w:p>
        </w:tc>
        <w:tc>
          <w:tcPr>
            <w:tcW w:w="7305" w:type="dxa"/>
            <w:gridSpan w:val="3"/>
            <w:tcBorders>
              <w:top w:val="nil"/>
              <w:left w:val="nil"/>
              <w:bottom w:val="single" w:color="auto" w:sz="8" w:space="0"/>
              <w:right w:val="single" w:color="000000"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sz w:val="24"/>
                <w:szCs w:val="24"/>
                <w:lang w:val="en-US" w:eastAsia="zh-CN"/>
              </w:rPr>
              <w:t>193.46</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shd w:val="clear" w:fill="FFFFFF"/>
        </w:rPr>
      </w:pPr>
      <w:r>
        <w:rPr>
          <w:rFonts w:hint="eastAsia" w:ascii="黑体" w:hAnsi="黑体" w:eastAsia="黑体" w:cs="黑体"/>
          <w:i w:val="0"/>
          <w:iCs w:val="0"/>
          <w:caps w:val="0"/>
          <w:color w:val="000000"/>
          <w:spacing w:val="0"/>
          <w:sz w:val="32"/>
          <w:szCs w:val="32"/>
          <w:shd w:val="clear" w:fill="FFFFFF"/>
        </w:rPr>
        <w:t>三、收到和处理政府信息公开申请情况</w:t>
      </w:r>
    </w:p>
    <w:tbl>
      <w:tblPr>
        <w:tblStyle w:val="6"/>
        <w:tblW w:w="9079"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14"/>
        <w:gridCol w:w="877"/>
        <w:gridCol w:w="3001"/>
        <w:gridCol w:w="639"/>
        <w:gridCol w:w="639"/>
        <w:gridCol w:w="639"/>
        <w:gridCol w:w="639"/>
        <w:gridCol w:w="639"/>
        <w:gridCol w:w="707"/>
        <w:gridCol w:w="58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4592" w:type="dxa"/>
            <w:gridSpan w:val="3"/>
            <w:vMerge w:val="restart"/>
            <w:tcBorders>
              <w:top w:val="single" w:color="auto" w:sz="8" w:space="0"/>
              <w:left w:val="single" w:color="auto" w:sz="8" w:space="0"/>
              <w:bottom w:val="inset"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ascii="楷体" w:hAnsi="楷体" w:eastAsia="楷体" w:cs="楷体"/>
                <w:sz w:val="20"/>
                <w:szCs w:val="20"/>
              </w:rPr>
              <w:t>（本列数据的勾稽关系为：第一项加第二项之和，等于第三项加第四项之和）</w:t>
            </w:r>
          </w:p>
        </w:tc>
        <w:tc>
          <w:tcPr>
            <w:tcW w:w="4487" w:type="dxa"/>
            <w:gridSpan w:val="7"/>
            <w:tcBorders>
              <w:top w:val="single" w:color="auto" w:sz="8" w:space="0"/>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4592" w:type="dxa"/>
            <w:gridSpan w:val="3"/>
            <w:vMerge w:val="continue"/>
            <w:tcBorders>
              <w:top w:val="single" w:color="auto" w:sz="8" w:space="0"/>
              <w:left w:val="single" w:color="auto" w:sz="8" w:space="0"/>
              <w:bottom w:val="inset"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639" w:type="dxa"/>
            <w:vMerge w:val="restart"/>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自然人</w:t>
            </w:r>
          </w:p>
        </w:tc>
        <w:tc>
          <w:tcPr>
            <w:tcW w:w="3263" w:type="dxa"/>
            <w:gridSpan w:val="5"/>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法人或其他组织</w:t>
            </w:r>
          </w:p>
        </w:tc>
        <w:tc>
          <w:tcPr>
            <w:tcW w:w="585" w:type="dxa"/>
            <w:vMerge w:val="restart"/>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4592" w:type="dxa"/>
            <w:gridSpan w:val="3"/>
            <w:vMerge w:val="continue"/>
            <w:tcBorders>
              <w:top w:val="single" w:color="auto" w:sz="8" w:space="0"/>
              <w:left w:val="single" w:color="auto" w:sz="8" w:space="0"/>
              <w:bottom w:val="inset"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639" w:type="dxa"/>
            <w:vMerge w:val="continue"/>
            <w:tcBorders>
              <w:top w:val="nil"/>
              <w:left w:val="nil"/>
              <w:bottom w:val="single"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商业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企业</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科研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机构</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社会公益组织</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法律服务机构</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其他</w:t>
            </w:r>
          </w:p>
        </w:tc>
        <w:tc>
          <w:tcPr>
            <w:tcW w:w="585"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4592"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一、本年新收政府信息公开申请数量</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sz w:val="24"/>
                <w:szCs w:val="24"/>
                <w:lang w:val="en-US" w:eastAsia="zh-CN"/>
              </w:rPr>
              <w:t>16</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ascii="宋体" w:hAnsi="宋体" w:eastAsia="宋体" w:cs="宋体"/>
                <w:color w:val="000000"/>
                <w:sz w:val="20"/>
                <w:szCs w:val="20"/>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4592"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二、上年结转政府信息公开申请数量</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401" w:hRule="atLeast"/>
          <w:jc w:val="center"/>
        </w:trPr>
        <w:tc>
          <w:tcPr>
            <w:tcW w:w="714" w:type="dxa"/>
            <w:vMerge w:val="restart"/>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三、本年度办理结果</w:t>
            </w:r>
          </w:p>
        </w:tc>
        <w:tc>
          <w:tcPr>
            <w:tcW w:w="3878"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（一）予以公开</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3</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878"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（二）部分公开</w:t>
            </w:r>
            <w:r>
              <w:rPr>
                <w:rFonts w:hint="eastAsia" w:ascii="楷体" w:hAnsi="楷体" w:eastAsia="楷体" w:cs="楷体"/>
                <w:sz w:val="20"/>
                <w:szCs w:val="20"/>
              </w:rPr>
              <w:t>（区分处理的，只计这一情形，不计其他情形）</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restart"/>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（三）不予公开</w:t>
            </w: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1.</w:t>
            </w:r>
            <w:r>
              <w:rPr>
                <w:rFonts w:hint="eastAsia" w:ascii="宋体" w:hAnsi="宋体" w:eastAsia="宋体" w:cs="宋体"/>
                <w:sz w:val="20"/>
                <w:szCs w:val="20"/>
              </w:rPr>
              <w:t>属于国家秘密</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2.</w:t>
            </w:r>
            <w:r>
              <w:rPr>
                <w:rFonts w:hint="eastAsia" w:ascii="宋体" w:hAnsi="宋体" w:eastAsia="宋体" w:cs="宋体"/>
                <w:sz w:val="20"/>
                <w:szCs w:val="20"/>
              </w:rPr>
              <w:t>其他法律行政法规禁止公开</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3.</w:t>
            </w:r>
            <w:r>
              <w:rPr>
                <w:rFonts w:hint="eastAsia" w:ascii="宋体" w:hAnsi="宋体" w:eastAsia="宋体" w:cs="宋体"/>
                <w:sz w:val="20"/>
                <w:szCs w:val="20"/>
              </w:rPr>
              <w:t>危及“三安全一稳定”</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4.</w:t>
            </w:r>
            <w:r>
              <w:rPr>
                <w:rFonts w:hint="eastAsia" w:ascii="宋体" w:hAnsi="宋体" w:eastAsia="宋体" w:cs="宋体"/>
                <w:sz w:val="20"/>
                <w:szCs w:val="20"/>
              </w:rPr>
              <w:t>保护第三方合法权益</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5.</w:t>
            </w:r>
            <w:r>
              <w:rPr>
                <w:rFonts w:hint="eastAsia" w:ascii="宋体" w:hAnsi="宋体" w:eastAsia="宋体" w:cs="宋体"/>
                <w:sz w:val="20"/>
                <w:szCs w:val="20"/>
              </w:rPr>
              <w:t>属于三类内部事务信息</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6.</w:t>
            </w:r>
            <w:r>
              <w:rPr>
                <w:rFonts w:hint="eastAsia" w:ascii="宋体" w:hAnsi="宋体" w:eastAsia="宋体" w:cs="宋体"/>
                <w:sz w:val="20"/>
                <w:szCs w:val="20"/>
              </w:rPr>
              <w:t>属于四类过程性信息</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7.</w:t>
            </w:r>
            <w:r>
              <w:rPr>
                <w:rFonts w:hint="eastAsia" w:ascii="宋体" w:hAnsi="宋体" w:eastAsia="宋体" w:cs="宋体"/>
                <w:sz w:val="20"/>
                <w:szCs w:val="20"/>
              </w:rPr>
              <w:t>属于行政执法案卷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8.</w:t>
            </w:r>
            <w:r>
              <w:rPr>
                <w:rFonts w:hint="eastAsia" w:ascii="宋体" w:hAnsi="宋体" w:eastAsia="宋体" w:cs="宋体"/>
                <w:sz w:val="20"/>
                <w:szCs w:val="20"/>
              </w:rPr>
              <w:t>属于行政查询事项</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restart"/>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（四）无法提供</w:t>
            </w: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1.</w:t>
            </w:r>
            <w:r>
              <w:rPr>
                <w:rFonts w:hint="eastAsia" w:ascii="宋体" w:hAnsi="宋体" w:eastAsia="宋体" w:cs="宋体"/>
                <w:sz w:val="20"/>
                <w:szCs w:val="20"/>
              </w:rPr>
              <w:t>本机关不掌握相关政府信息</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宋体"/>
                <w:sz w:val="24"/>
                <w:szCs w:val="24"/>
                <w:lang w:val="en-US" w:eastAsia="zh-CN"/>
              </w:rPr>
            </w:pPr>
            <w:r>
              <w:rPr>
                <w:rFonts w:hint="eastAsia" w:ascii="宋体" w:hAnsi="宋体" w:eastAsia="宋体" w:cs="宋体"/>
                <w:color w:val="000000"/>
                <w:sz w:val="20"/>
                <w:szCs w:val="20"/>
                <w:lang w:val="en-US"/>
              </w:rPr>
              <w:t>1</w:t>
            </w:r>
            <w:r>
              <w:rPr>
                <w:rFonts w:hint="eastAsia" w:ascii="宋体" w:hAnsi="宋体" w:eastAsia="宋体" w:cs="宋体"/>
                <w:color w:val="000000"/>
                <w:sz w:val="20"/>
                <w:szCs w:val="20"/>
                <w:lang w:val="en-US" w:eastAsia="zh-CN"/>
              </w:rPr>
              <w:t>1</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宋体"/>
                <w:sz w:val="24"/>
                <w:szCs w:val="24"/>
                <w:lang w:val="en-US" w:eastAsia="zh-CN"/>
              </w:rPr>
            </w:pPr>
            <w:r>
              <w:rPr>
                <w:rFonts w:hint="eastAsia" w:ascii="宋体" w:hAnsi="宋体" w:eastAsia="宋体" w:cs="宋体"/>
                <w:color w:val="000000"/>
                <w:sz w:val="20"/>
                <w:szCs w:val="20"/>
                <w:lang w:val="en-US"/>
              </w:rPr>
              <w:t>1</w:t>
            </w:r>
            <w:r>
              <w:rPr>
                <w:rFonts w:hint="eastAsia" w:ascii="宋体" w:hAnsi="宋体" w:eastAsia="宋体" w:cs="宋体"/>
                <w:color w:val="000000"/>
                <w:sz w:val="20"/>
                <w:szCs w:val="20"/>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2.</w:t>
            </w:r>
            <w:r>
              <w:rPr>
                <w:rFonts w:hint="eastAsia" w:ascii="宋体" w:hAnsi="宋体" w:eastAsia="宋体" w:cs="宋体"/>
                <w:sz w:val="20"/>
                <w:szCs w:val="20"/>
              </w:rPr>
              <w:t>没有现成信息需要另行制作</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3.</w:t>
            </w:r>
            <w:r>
              <w:rPr>
                <w:rFonts w:hint="eastAsia" w:ascii="宋体" w:hAnsi="宋体" w:eastAsia="宋体" w:cs="宋体"/>
                <w:sz w:val="20"/>
                <w:szCs w:val="20"/>
              </w:rPr>
              <w:t>补正后申请内容仍不明确</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restart"/>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（五）不予处理</w:t>
            </w: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1.</w:t>
            </w:r>
            <w:r>
              <w:rPr>
                <w:rFonts w:hint="eastAsia" w:ascii="宋体" w:hAnsi="宋体" w:eastAsia="宋体" w:cs="宋体"/>
                <w:sz w:val="20"/>
                <w:szCs w:val="20"/>
              </w:rPr>
              <w:t>信访举报投诉类申请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2.</w:t>
            </w:r>
            <w:r>
              <w:rPr>
                <w:rFonts w:hint="eastAsia" w:ascii="宋体" w:hAnsi="宋体" w:eastAsia="宋体" w:cs="宋体"/>
                <w:sz w:val="20"/>
                <w:szCs w:val="20"/>
              </w:rPr>
              <w:t>重复申请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3.</w:t>
            </w:r>
            <w:r>
              <w:rPr>
                <w:rFonts w:hint="eastAsia" w:ascii="宋体" w:hAnsi="宋体" w:eastAsia="宋体" w:cs="宋体"/>
                <w:sz w:val="20"/>
                <w:szCs w:val="20"/>
              </w:rPr>
              <w:t>要求提供公开出版物</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4.</w:t>
            </w:r>
            <w:r>
              <w:rPr>
                <w:rFonts w:hint="eastAsia" w:ascii="宋体" w:hAnsi="宋体" w:eastAsia="宋体" w:cs="宋体"/>
                <w:sz w:val="20"/>
                <w:szCs w:val="20"/>
              </w:rPr>
              <w:t>无正当理由大量反复申请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textAlignment w:val="auto"/>
              <w:rPr>
                <w:sz w:val="24"/>
                <w:szCs w:val="24"/>
              </w:rPr>
            </w:pPr>
            <w:r>
              <w:rPr>
                <w:rFonts w:hint="eastAsia" w:ascii="宋体" w:hAnsi="宋体" w:eastAsia="宋体" w:cs="宋体"/>
                <w:sz w:val="20"/>
                <w:szCs w:val="20"/>
                <w:lang w:val="en-US"/>
              </w:rPr>
              <w:t>5.</w:t>
            </w:r>
            <w:r>
              <w:rPr>
                <w:rFonts w:hint="eastAsia" w:ascii="宋体" w:hAnsi="宋体" w:eastAsia="宋体" w:cs="宋体"/>
                <w:sz w:val="20"/>
                <w:szCs w:val="20"/>
              </w:rPr>
              <w:t>要求行政机关确认或重新出具已获取信息</w:t>
            </w:r>
          </w:p>
        </w:tc>
        <w:tc>
          <w:tcPr>
            <w:tcW w:w="639"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restart"/>
            <w:tcBorders>
              <w:top w:val="nil"/>
              <w:left w:val="nil"/>
              <w:bottom w:val="inset"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（六）其他处理</w:t>
            </w:r>
          </w:p>
        </w:tc>
        <w:tc>
          <w:tcPr>
            <w:tcW w:w="3001"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textAlignment w:val="auto"/>
              <w:rPr>
                <w:sz w:val="24"/>
                <w:szCs w:val="24"/>
              </w:rPr>
            </w:pPr>
            <w:r>
              <w:rPr>
                <w:rFonts w:hint="eastAsia" w:ascii="宋体" w:hAnsi="宋体" w:eastAsia="宋体" w:cs="宋体"/>
                <w:sz w:val="20"/>
                <w:szCs w:val="20"/>
                <w:lang w:val="en-US"/>
              </w:rPr>
              <w:t>1.</w:t>
            </w:r>
            <w:r>
              <w:rPr>
                <w:rFonts w:hint="eastAsia" w:ascii="宋体" w:hAnsi="宋体" w:eastAsia="宋体" w:cs="宋体"/>
                <w:sz w:val="20"/>
                <w:szCs w:val="20"/>
              </w:rPr>
              <w:t>申请人无正当理由逾期不补正、行政机关不再处理其政府信息公开申请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textAlignment w:val="auto"/>
              <w:rPr>
                <w:sz w:val="24"/>
                <w:szCs w:val="24"/>
              </w:rPr>
            </w:pPr>
            <w:r>
              <w:rPr>
                <w:rFonts w:hint="eastAsia" w:ascii="宋体" w:hAnsi="宋体" w:eastAsia="宋体" w:cs="宋体"/>
                <w:sz w:val="20"/>
                <w:szCs w:val="20"/>
                <w:lang w:val="en-US"/>
              </w:rPr>
              <w:t>2.</w:t>
            </w:r>
            <w:r>
              <w:rPr>
                <w:rFonts w:hint="eastAsia" w:ascii="宋体" w:hAnsi="宋体" w:eastAsia="宋体" w:cs="宋体"/>
                <w:sz w:val="20"/>
                <w:szCs w:val="20"/>
              </w:rPr>
              <w:t>申请人逾期未按收费通知要求缴纳费用、行政机关不再处理其政府信息公开申请</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877" w:type="dxa"/>
            <w:vMerge w:val="continue"/>
            <w:tcBorders>
              <w:top w:val="nil"/>
              <w:left w:val="nil"/>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001"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lang w:val="en-US"/>
              </w:rPr>
              <w:t>3.</w:t>
            </w:r>
            <w:r>
              <w:rPr>
                <w:rFonts w:hint="eastAsia" w:ascii="宋体" w:hAnsi="宋体" w:eastAsia="宋体" w:cs="宋体"/>
                <w:sz w:val="20"/>
                <w:szCs w:val="20"/>
              </w:rPr>
              <w:t>其他</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1</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714" w:type="dxa"/>
            <w:vMerge w:val="continue"/>
            <w:tcBorders>
              <w:top w:val="nil"/>
              <w:left w:val="single" w:color="auto" w:sz="8" w:space="0"/>
              <w:bottom w:val="inset" w:color="auto" w:sz="8" w:space="0"/>
              <w:right w:val="single" w:color="auto" w:sz="8" w:space="0"/>
            </w:tcBorders>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3878" w:type="dxa"/>
            <w:gridSpan w:val="2"/>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（七）总计</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ascii="宋体" w:hAnsi="宋体" w:eastAsia="宋体" w:cs="宋体"/>
                <w:color w:val="000000"/>
                <w:sz w:val="20"/>
                <w:szCs w:val="20"/>
                <w:lang w:val="en-US" w:eastAsia="zh-CN"/>
              </w:rPr>
              <w:t>15</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default" w:eastAsiaTheme="minorEastAsia"/>
                <w:sz w:val="24"/>
                <w:szCs w:val="24"/>
                <w:lang w:val="en-US" w:eastAsia="zh-CN"/>
              </w:rPr>
            </w:pPr>
            <w:r>
              <w:rPr>
                <w:rFonts w:hint="eastAsia" w:ascii="宋体" w:hAnsi="宋体" w:eastAsia="宋体" w:cs="宋体"/>
                <w:color w:val="000000"/>
                <w:sz w:val="20"/>
                <w:szCs w:val="20"/>
                <w:lang w:val="en-US" w:eastAsia="zh-CN"/>
              </w:rPr>
              <w:t>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4592" w:type="dxa"/>
            <w:gridSpan w:val="3"/>
            <w:tcBorders>
              <w:top w:val="nil"/>
              <w:left w:val="single" w:color="auto" w:sz="8" w:space="0"/>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auto"/>
              <w:rPr>
                <w:sz w:val="24"/>
                <w:szCs w:val="24"/>
              </w:rPr>
            </w:pPr>
            <w:r>
              <w:rPr>
                <w:rFonts w:hint="eastAsia" w:ascii="宋体" w:hAnsi="宋体" w:eastAsia="宋体" w:cs="宋体"/>
                <w:sz w:val="20"/>
                <w:szCs w:val="20"/>
              </w:rPr>
              <w:t>四、结转下年度继续办理</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1</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639"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707"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85" w:type="dxa"/>
            <w:tcBorders>
              <w:top w:val="nil"/>
              <w:left w:val="nil"/>
              <w:bottom w:val="single" w:color="auto" w:sz="8" w:space="0"/>
              <w:right w:val="single" w:color="auto" w:sz="8" w:space="0"/>
            </w:tcBorders>
            <w:shd w:val="clear" w:color="auto" w:fill="auto"/>
            <w:tcMar>
              <w:left w:w="57" w:type="dxa"/>
              <w:right w:w="57"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eastAsiaTheme="minorEastAsia"/>
                <w:sz w:val="24"/>
                <w:szCs w:val="24"/>
                <w:lang w:eastAsia="zh-CN"/>
              </w:rPr>
            </w:pPr>
            <w:r>
              <w:rPr>
                <w:rFonts w:hint="eastAsia" w:ascii="宋体" w:hAnsi="宋体" w:eastAsia="宋体" w:cs="宋体"/>
                <w:color w:val="000000"/>
                <w:sz w:val="20"/>
                <w:szCs w:val="20"/>
                <w:lang w:val="en-US" w:eastAsia="zh-CN"/>
              </w:rPr>
              <w:t>1</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shd w:val="clear" w:fill="FFFFFF"/>
          <w:lang w:val="en-US"/>
        </w:rPr>
        <w:t>四、</w:t>
      </w:r>
      <w:r>
        <w:rPr>
          <w:rFonts w:hint="eastAsia" w:ascii="黑体" w:hAnsi="黑体" w:eastAsia="黑体" w:cs="黑体"/>
          <w:i w:val="0"/>
          <w:iCs w:val="0"/>
          <w:caps w:val="0"/>
          <w:color w:val="000000"/>
          <w:spacing w:val="0"/>
          <w:sz w:val="32"/>
          <w:szCs w:val="32"/>
          <w:shd w:val="clear" w:fill="FFFFFF"/>
        </w:rPr>
        <w:t>政府信息公开行政复议、行政诉讼情况</w:t>
      </w:r>
    </w:p>
    <w:tbl>
      <w:tblPr>
        <w:tblStyle w:val="6"/>
        <w:tblW w:w="8919"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93"/>
        <w:gridCol w:w="593"/>
        <w:gridCol w:w="593"/>
        <w:gridCol w:w="593"/>
        <w:gridCol w:w="597"/>
        <w:gridCol w:w="593"/>
        <w:gridCol w:w="593"/>
        <w:gridCol w:w="594"/>
        <w:gridCol w:w="594"/>
        <w:gridCol w:w="598"/>
        <w:gridCol w:w="595"/>
        <w:gridCol w:w="595"/>
        <w:gridCol w:w="595"/>
        <w:gridCol w:w="595"/>
        <w:gridCol w:w="59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75" w:hRule="atLeast"/>
          <w:jc w:val="center"/>
        </w:trPr>
        <w:tc>
          <w:tcPr>
            <w:tcW w:w="2969"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行政复议</w:t>
            </w:r>
          </w:p>
        </w:tc>
        <w:tc>
          <w:tcPr>
            <w:tcW w:w="5950"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275" w:hRule="atLeast"/>
          <w:jc w:val="center"/>
        </w:trPr>
        <w:tc>
          <w:tcPr>
            <w:tcW w:w="593"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结果维持</w:t>
            </w:r>
          </w:p>
        </w:tc>
        <w:tc>
          <w:tcPr>
            <w:tcW w:w="593"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纠正</w:t>
            </w:r>
          </w:p>
        </w:tc>
        <w:tc>
          <w:tcPr>
            <w:tcW w:w="593"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其他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tc>
        <w:tc>
          <w:tcPr>
            <w:tcW w:w="593"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尚未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审结</w:t>
            </w:r>
          </w:p>
        </w:tc>
        <w:tc>
          <w:tcPr>
            <w:tcW w:w="597"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总计</w:t>
            </w:r>
          </w:p>
        </w:tc>
        <w:tc>
          <w:tcPr>
            <w:tcW w:w="2972"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未经复议直接起诉</w:t>
            </w:r>
          </w:p>
        </w:tc>
        <w:tc>
          <w:tcPr>
            <w:tcW w:w="2978"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534" w:hRule="atLeast"/>
          <w:jc w:val="center"/>
        </w:trPr>
        <w:tc>
          <w:tcPr>
            <w:tcW w:w="593"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593"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593"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593"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597"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sz w:val="24"/>
                <w:szCs w:val="24"/>
              </w:rPr>
            </w:pP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维持</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纠正</w:t>
            </w:r>
          </w:p>
        </w:tc>
        <w:tc>
          <w:tcPr>
            <w:tcW w:w="594"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其他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tc>
        <w:tc>
          <w:tcPr>
            <w:tcW w:w="594"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尚未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审结</w:t>
            </w:r>
          </w:p>
        </w:tc>
        <w:tc>
          <w:tcPr>
            <w:tcW w:w="59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总计</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维持</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纠正</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其他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结果</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尚未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sz w:val="20"/>
                <w:szCs w:val="20"/>
              </w:rPr>
              <w:t>审结</w:t>
            </w:r>
          </w:p>
        </w:tc>
        <w:tc>
          <w:tcPr>
            <w:tcW w:w="59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590" w:hRule="atLeast"/>
          <w:jc w:val="center"/>
        </w:trPr>
        <w:tc>
          <w:tcPr>
            <w:tcW w:w="59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0 </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0 </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0 </w:t>
            </w:r>
          </w:p>
        </w:tc>
        <w:tc>
          <w:tcPr>
            <w:tcW w:w="594"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4"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 0</w:t>
            </w:r>
          </w:p>
        </w:tc>
        <w:tc>
          <w:tcPr>
            <w:tcW w:w="595"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0 </w:t>
            </w:r>
          </w:p>
        </w:tc>
        <w:tc>
          <w:tcPr>
            <w:tcW w:w="59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auto"/>
              <w:rPr>
                <w:sz w:val="24"/>
                <w:szCs w:val="24"/>
              </w:rPr>
            </w:pPr>
            <w:r>
              <w:rPr>
                <w:rFonts w:hint="eastAsia" w:ascii="宋体" w:hAnsi="宋体" w:eastAsia="宋体" w:cs="宋体"/>
                <w:color w:val="000000"/>
                <w:sz w:val="20"/>
                <w:szCs w:val="20"/>
                <w:lang w:val="en-US"/>
              </w:rPr>
              <w:t>0</w:t>
            </w:r>
          </w:p>
        </w:tc>
      </w:tr>
    </w:tbl>
    <w:p>
      <w:pPr>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600" w:lineRule="exact"/>
        <w:ind w:left="-200" w:right="0" w:firstLine="640"/>
        <w:jc w:val="left"/>
        <w:textAlignment w:val="auto"/>
        <w:rPr>
          <w:rFonts w:hint="eastAsia" w:ascii="黑体" w:hAnsi="黑体" w:eastAsia="黑体" w:cs="黑体"/>
          <w:i w:val="0"/>
          <w:iCs w:val="0"/>
          <w:caps w:val="0"/>
          <w:color w:val="000000"/>
          <w:spacing w:val="0"/>
          <w:kern w:val="0"/>
          <w:sz w:val="32"/>
          <w:szCs w:val="32"/>
          <w:lang w:val="en-US" w:eastAsia="zh-CN" w:bidi="ar"/>
        </w:rPr>
      </w:pPr>
      <w:r>
        <w:rPr>
          <w:rFonts w:hint="eastAsia" w:ascii="黑体" w:hAnsi="黑体" w:eastAsia="黑体" w:cs="黑体"/>
          <w:i w:val="0"/>
          <w:iCs w:val="0"/>
          <w:caps w:val="0"/>
          <w:color w:val="000000"/>
          <w:spacing w:val="0"/>
          <w:sz w:val="32"/>
          <w:szCs w:val="32"/>
          <w:shd w:val="clear" w:fill="FFFFFF"/>
        </w:rPr>
        <w:t>五、存在的主要问题及改进情况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5"/>
        <w:textAlignment w:val="auto"/>
        <w:rPr>
          <w:rFonts w:hint="eastAsia" w:ascii="仿宋_GB2312" w:hAnsi="Times New Roman" w:eastAsia="仿宋_GB2312" w:cs="仿宋_GB2312"/>
          <w:i w:val="0"/>
          <w:iCs w:val="0"/>
          <w:caps w:val="0"/>
          <w:color w:val="000000"/>
          <w:spacing w:val="0"/>
          <w:sz w:val="32"/>
          <w:szCs w:val="32"/>
        </w:rPr>
      </w:pP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2021年，区管委会在信息公开工作方面取得了新的进展，但还存在一些不足。一是</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政策解读形式、</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解读质量待提升。</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部分部门对政策解读重视度不高，</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政策解读形式</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局限于文稿解读，解读形式</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比较单一、解读不够全面。二是政务公开工作措施不到位，存在公开的广度和深度不够、公开信息格式不严谨等问题</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信息数据发布不够及时、欠精准。三是</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政务公开工作力量有待进一步加强。各镇、各部门</w:t>
      </w:r>
      <w:r>
        <w:rPr>
          <w:rFonts w:ascii="仿宋_GB2312" w:hAnsi="仿宋_GB2312" w:eastAsia="仿宋_GB2312" w:cs="仿宋_GB2312"/>
          <w:i w:val="0"/>
          <w:iCs w:val="0"/>
          <w:caps w:val="0"/>
          <w:color w:val="000000"/>
          <w:spacing w:val="0"/>
          <w:sz w:val="32"/>
          <w:szCs w:val="32"/>
          <w:shd w:val="clear" w:fill="FFFFFF"/>
        </w:rPr>
        <w:t>政务公开工作人员流动</w:t>
      </w:r>
      <w:r>
        <w:rPr>
          <w:rFonts w:hint="eastAsia" w:ascii="仿宋_GB2312" w:hAnsi="仿宋_GB2312" w:eastAsia="仿宋_GB2312" w:cs="仿宋_GB2312"/>
          <w:i w:val="0"/>
          <w:iCs w:val="0"/>
          <w:caps w:val="0"/>
          <w:color w:val="000000"/>
          <w:spacing w:val="0"/>
          <w:sz w:val="32"/>
          <w:szCs w:val="32"/>
          <w:shd w:val="clear" w:fill="FFFFFF"/>
          <w:lang w:eastAsia="zh-CN"/>
        </w:rPr>
        <w:t>频繁，工作衔接不足，</w:t>
      </w:r>
      <w:r>
        <w:rPr>
          <w:rFonts w:ascii="仿宋_GB2312" w:hAnsi="仿宋_GB2312" w:eastAsia="仿宋_GB2312" w:cs="仿宋_GB2312"/>
          <w:i w:val="0"/>
          <w:iCs w:val="0"/>
          <w:caps w:val="0"/>
          <w:color w:val="000000"/>
          <w:spacing w:val="0"/>
          <w:sz w:val="32"/>
          <w:szCs w:val="32"/>
          <w:shd w:val="clear" w:fill="FFFFFF"/>
        </w:rPr>
        <w:t>部分工作人员的公开意识和责任意识不足，对</w:t>
      </w:r>
      <w:r>
        <w:rPr>
          <w:rFonts w:ascii="仿宋_GB2312" w:hAnsi="Times New Roman" w:eastAsia="仿宋_GB2312" w:cs="仿宋_GB2312"/>
          <w:i w:val="0"/>
          <w:iCs w:val="0"/>
          <w:caps w:val="0"/>
          <w:color w:val="000000"/>
          <w:spacing w:val="0"/>
          <w:sz w:val="32"/>
          <w:szCs w:val="32"/>
        </w:rPr>
        <w:t>安排的政务公开任务敷衍了事，</w:t>
      </w:r>
      <w:r>
        <w:rPr>
          <w:rFonts w:hint="eastAsia" w:ascii="仿宋_GB2312" w:hAnsi="Times New Roman" w:eastAsia="仿宋_GB2312" w:cs="仿宋_GB2312"/>
          <w:i w:val="0"/>
          <w:iCs w:val="0"/>
          <w:caps w:val="0"/>
          <w:color w:val="000000"/>
          <w:spacing w:val="0"/>
          <w:sz w:val="32"/>
          <w:szCs w:val="32"/>
        </w:rPr>
        <w:t>针对出现的问题整改不积极、不彻底。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pP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2022年，</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区管委会</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将进一步提高对政府信息公开工作的重视程度，持续加强对政府信息公开工作的领导，确保工作不断完善提升，推动政府信息公开工作再上新台阶：一是加强政策解读力度。将政策文件</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与解读材料同步起草、同步审签、同步发布</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进一步丰富解读形式，采用图解、专家解读、媒体解读等形式让百姓更便捷理解政策。二是强化监督检查。持续加大日常检查指导力度，完善通报制度，对存在的问题，建立清单台账，限时抓好督促整改，倒逼推进落实质量和效率。三是加大培训力度，对标先进区县，学习优秀经验，强化政务公开工作流程再造，因地制宜实事求是地推进政务公开标准化。</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textAlignment w:val="auto"/>
        <w:rPr>
          <w:rFonts w:hint="default"/>
          <w:lang w:val="en-US" w:eastAsia="zh-CN"/>
        </w:rPr>
      </w:pPr>
      <w:r>
        <w:rPr>
          <w:rFonts w:hint="eastAsia" w:ascii="黑体" w:hAnsi="黑体" w:eastAsia="黑体" w:cs="黑体"/>
          <w:i w:val="0"/>
          <w:iCs w:val="0"/>
          <w:caps w:val="0"/>
          <w:color w:val="000000"/>
          <w:spacing w:val="0"/>
          <w:sz w:val="32"/>
          <w:szCs w:val="32"/>
          <w:shd w:val="clear" w:fill="FFFFFF"/>
          <w:lang w:val="en-US" w:eastAsia="zh-CN"/>
        </w:rPr>
        <w:t>六、其他要报告的事项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楷体_GB2312" w:cs="Times New Roman"/>
          <w:b w:val="0"/>
          <w:bCs w:val="0"/>
          <w:i w:val="0"/>
          <w:iCs w:val="0"/>
          <w:caps w:val="0"/>
          <w:color w:val="000000"/>
          <w:spacing w:val="0"/>
          <w:kern w:val="0"/>
          <w:sz w:val="32"/>
          <w:szCs w:val="32"/>
          <w:lang w:val="en-US" w:eastAsia="zh-CN" w:bidi="ar"/>
        </w:rPr>
      </w:pPr>
      <w:r>
        <w:rPr>
          <w:rFonts w:hint="default" w:ascii="Times New Roman" w:hAnsi="Times New Roman" w:eastAsia="楷体_GB2312" w:cs="Times New Roman"/>
          <w:b w:val="0"/>
          <w:bCs w:val="0"/>
          <w:i w:val="0"/>
          <w:iCs w:val="0"/>
          <w:caps w:val="0"/>
          <w:color w:val="000000"/>
          <w:spacing w:val="0"/>
          <w:kern w:val="0"/>
          <w:sz w:val="32"/>
          <w:szCs w:val="32"/>
          <w:lang w:val="en-US" w:eastAsia="zh-CN" w:bidi="ar"/>
        </w:rPr>
        <w:t>1、收取信息处理费情况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pP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文昌湖</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区管委会依据《国务院办公厅关于印发&lt;政府信息公开信息处理费管理办法&gt;的通知》（国办函〔2020〕109号）和《山东省人民政府办公厅关于做好政府信息公开信息处理费管理工作有关事项的通知》（鲁政办字〔2020〕179号）规定收取信息处理费。2021年，全区依申请公开政府信息未收取信息处理费用。</w:t>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600" w:lineRule="exact"/>
        <w:ind w:firstLine="640" w:firstLineChars="200"/>
        <w:textAlignment w:val="auto"/>
        <w:rPr>
          <w:rFonts w:hint="default" w:ascii="Times New Roman" w:hAnsi="Times New Roman" w:eastAsia="楷体_GB2312" w:cs="Times New Roman"/>
          <w:b w:val="0"/>
          <w:bCs w:val="0"/>
          <w:i w:val="0"/>
          <w:iCs w:val="0"/>
          <w:caps w:val="0"/>
          <w:color w:val="000000"/>
          <w:spacing w:val="0"/>
          <w:kern w:val="0"/>
          <w:sz w:val="32"/>
          <w:szCs w:val="32"/>
          <w:lang w:val="en-US" w:eastAsia="zh-CN" w:bidi="ar"/>
        </w:rPr>
      </w:pPr>
      <w:r>
        <w:rPr>
          <w:rFonts w:hint="default" w:ascii="Times New Roman" w:hAnsi="Times New Roman" w:eastAsia="楷体_GB2312" w:cs="Times New Roman"/>
          <w:b w:val="0"/>
          <w:bCs w:val="0"/>
          <w:i w:val="0"/>
          <w:iCs w:val="0"/>
          <w:caps w:val="0"/>
          <w:color w:val="000000"/>
          <w:spacing w:val="0"/>
          <w:kern w:val="0"/>
          <w:sz w:val="32"/>
          <w:szCs w:val="32"/>
          <w:lang w:val="en-US" w:eastAsia="zh-CN" w:bidi="ar"/>
        </w:rPr>
        <w:t>落实上级年度政务公开工作要点情况</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600" w:lineRule="exact"/>
        <w:ind w:firstLine="640" w:firstLineChars="200"/>
        <w:textAlignment w:val="auto"/>
        <w:outlineLvl w:val="0"/>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pP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2021年，文昌湖区管委会认真贯彻落实国家、省、市政务公开工作要点部署和要求，制定印发《</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2021年淄博文昌湖省级旅游度假区政务公开工作要点</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》（淄文昌管办字</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1</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0</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号</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），进一步明确</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工作任务</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，压实工作责任，确保了各项工作的落实，较好完成了上级政务公开工作要点部署的任务。</w:t>
      </w:r>
    </w:p>
    <w:p>
      <w:pPr>
        <w:pStyle w:val="2"/>
        <w:keepNext w:val="0"/>
        <w:keepLines w:val="0"/>
        <w:pageBreakBefore w:val="0"/>
        <w:numPr>
          <w:ilvl w:val="0"/>
          <w:numId w:val="2"/>
        </w:numPr>
        <w:kinsoku/>
        <w:wordWrap/>
        <w:overflowPunct/>
        <w:topLinePunct w:val="0"/>
        <w:autoSpaceDE/>
        <w:autoSpaceDN/>
        <w:bidi w:val="0"/>
        <w:adjustRightInd/>
        <w:snapToGrid/>
        <w:spacing w:beforeAutospacing="0" w:afterAutospacing="0" w:line="600" w:lineRule="exact"/>
        <w:ind w:left="0" w:leftChars="0" w:firstLine="640" w:firstLineChars="200"/>
        <w:textAlignment w:val="auto"/>
        <w:outlineLvl w:val="0"/>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pPr>
      <w:r>
        <w:rPr>
          <w:rFonts w:hint="default" w:ascii="Times New Roman" w:hAnsi="Times New Roman" w:eastAsia="楷体_GB2312" w:cs="Times New Roman"/>
          <w:b w:val="0"/>
          <w:bCs w:val="0"/>
          <w:i w:val="0"/>
          <w:iCs w:val="0"/>
          <w:caps w:val="0"/>
          <w:color w:val="000000"/>
          <w:spacing w:val="0"/>
          <w:kern w:val="0"/>
          <w:sz w:val="32"/>
          <w:szCs w:val="32"/>
          <w:lang w:val="en-US" w:eastAsia="zh-CN" w:bidi="ar"/>
        </w:rPr>
        <w:t>人大代表建议和政协提案办理情况</w:t>
      </w:r>
      <w:r>
        <w:rPr>
          <w:rFonts w:ascii="仿宋_GB2312" w:hAnsi="Times New Roman" w:eastAsia="仿宋_GB2312" w:cs="仿宋_GB2312"/>
          <w:i w:val="0"/>
          <w:caps w:val="0"/>
          <w:color w:val="333333"/>
          <w:spacing w:val="0"/>
          <w:sz w:val="32"/>
          <w:szCs w:val="32"/>
          <w:bdr w:val="none" w:color="auto" w:sz="0" w:space="0"/>
          <w:shd w:val="clear" w:fill="FFFFFF"/>
        </w:rPr>
        <w:t>。</w:t>
      </w:r>
      <w:bookmarkStart w:id="0" w:name="_GoBack"/>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w:t>
      </w:r>
      <w:bookmarkEnd w:id="0"/>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年，</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全区无人大代表建议和政协委员提案办理情况。</w:t>
      </w:r>
    </w:p>
    <w:p>
      <w:pPr>
        <w:pStyle w:val="2"/>
        <w:keepNext w:val="0"/>
        <w:keepLines w:val="0"/>
        <w:pageBreakBefore w:val="0"/>
        <w:numPr>
          <w:numId w:val="0"/>
        </w:numPr>
        <w:kinsoku/>
        <w:wordWrap/>
        <w:overflowPunct/>
        <w:topLinePunct w:val="0"/>
        <w:autoSpaceDE/>
        <w:autoSpaceDN/>
        <w:bidi w:val="0"/>
        <w:adjustRightInd/>
        <w:snapToGrid/>
        <w:spacing w:beforeAutospacing="0" w:afterAutospacing="0" w:line="600" w:lineRule="exact"/>
        <w:ind w:firstLine="640" w:firstLineChars="200"/>
        <w:textAlignment w:val="auto"/>
        <w:outlineLvl w:val="0"/>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pP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4、本报告中所列数据的统计期限自</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年</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月</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日起至</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2021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年</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12</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月</w:t>
      </w:r>
      <w:r>
        <w:rPr>
          <w:rFonts w:hint="default"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31</w:t>
      </w:r>
      <w:r>
        <w:rPr>
          <w:rFonts w:hint="eastAsia" w:ascii="Times New Roman" w:hAnsi="Times New Roman" w:eastAsia="仿宋_GB2312" w:cs="Times New Roman"/>
          <w:b w:val="0"/>
          <w:bCs w:val="0"/>
          <w:i w:val="0"/>
          <w:iCs w:val="0"/>
          <w:caps w:val="0"/>
          <w:color w:val="000000"/>
          <w:spacing w:val="0"/>
          <w:kern w:val="2"/>
          <w:sz w:val="32"/>
          <w:szCs w:val="32"/>
          <w:shd w:val="clear" w:fill="FFFFFF"/>
          <w:lang w:val="en-US" w:eastAsia="zh-CN" w:bidi="ar-SA"/>
        </w:rPr>
        <w:t>日止。</w:t>
      </w:r>
    </w:p>
    <w:sectPr>
      <w:footerReference r:id="rId3" w:type="default"/>
      <w:pgSz w:w="11906" w:h="16838"/>
      <w:pgMar w:top="2098" w:right="1417"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CA49DE"/>
    <w:multiLevelType w:val="singleLevel"/>
    <w:tmpl w:val="A4CA49DE"/>
    <w:lvl w:ilvl="0" w:tentative="0">
      <w:start w:val="5"/>
      <w:numFmt w:val="chineseCounting"/>
      <w:suff w:val="nothing"/>
      <w:lvlText w:val="（%1）"/>
      <w:lvlJc w:val="left"/>
      <w:rPr>
        <w:rFonts w:hint="eastAsia"/>
      </w:rPr>
    </w:lvl>
  </w:abstractNum>
  <w:abstractNum w:abstractNumId="1">
    <w:nsid w:val="BB6E9BAE"/>
    <w:multiLevelType w:val="singleLevel"/>
    <w:tmpl w:val="BB6E9BA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508CF"/>
    <w:rsid w:val="03300D99"/>
    <w:rsid w:val="03891696"/>
    <w:rsid w:val="07877AD9"/>
    <w:rsid w:val="09805821"/>
    <w:rsid w:val="09BB39AD"/>
    <w:rsid w:val="0ABF6006"/>
    <w:rsid w:val="0CEE1364"/>
    <w:rsid w:val="0DCF7F01"/>
    <w:rsid w:val="0F9F31FE"/>
    <w:rsid w:val="11216E29"/>
    <w:rsid w:val="120315DF"/>
    <w:rsid w:val="15924091"/>
    <w:rsid w:val="15925DAF"/>
    <w:rsid w:val="202D0D14"/>
    <w:rsid w:val="21E15242"/>
    <w:rsid w:val="23EF01D3"/>
    <w:rsid w:val="2DB64529"/>
    <w:rsid w:val="37C419B8"/>
    <w:rsid w:val="3E5A3606"/>
    <w:rsid w:val="3EB12325"/>
    <w:rsid w:val="3FCB325E"/>
    <w:rsid w:val="46A71700"/>
    <w:rsid w:val="49C63461"/>
    <w:rsid w:val="4BFF23DA"/>
    <w:rsid w:val="4CAA1F04"/>
    <w:rsid w:val="4D055F02"/>
    <w:rsid w:val="528B6050"/>
    <w:rsid w:val="52C35925"/>
    <w:rsid w:val="55E8169F"/>
    <w:rsid w:val="56133381"/>
    <w:rsid w:val="56F50BD4"/>
    <w:rsid w:val="5BDB4EDF"/>
    <w:rsid w:val="5D632C9B"/>
    <w:rsid w:val="5EAC2BCC"/>
    <w:rsid w:val="61CC627F"/>
    <w:rsid w:val="625912E9"/>
    <w:rsid w:val="668C2539"/>
    <w:rsid w:val="674C3266"/>
    <w:rsid w:val="684A52F8"/>
    <w:rsid w:val="6A33718F"/>
    <w:rsid w:val="6A916E17"/>
    <w:rsid w:val="6E9A6CF8"/>
    <w:rsid w:val="71675301"/>
    <w:rsid w:val="765F64B9"/>
    <w:rsid w:val="79180FB6"/>
    <w:rsid w:val="7B161EC2"/>
    <w:rsid w:val="7CF5BAF3"/>
    <w:rsid w:val="7FC70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Lenovo</cp:lastModifiedBy>
  <cp:lastPrinted>2022-02-19T11:28:00Z</cp:lastPrinted>
  <dcterms:modified xsi:type="dcterms:W3CDTF">2022-09-15T02:42:12Z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3C526D8900404930831A83AC7A6124BB</vt:lpwstr>
  </property>
</Properties>
</file>