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淄博文昌湖省级旅游度假区管理委员会</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2020年信息公开工作年度报告</w:t>
      </w:r>
    </w:p>
    <w:p>
      <w:pPr>
        <w:ind w:firstLine="640" w:firstLineChars="200"/>
        <w:rPr>
          <w:rFonts w:hint="default" w:ascii="Times New Roman" w:hAnsi="Times New Roman" w:eastAsia="仿宋_GB2312" w:cs="Times New Roman"/>
          <w:sz w:val="32"/>
          <w:szCs w:val="32"/>
        </w:rPr>
      </w:pP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中华人民共和国政府信息公开条例》（以下简称《条例》）规定、《国务院办公厅政府信息与政务公开办公室关于政府信息公开工作年度报告有关事项的通知》(国办公开办函〔2019〕60号）的要求，特向社会公开淄博文昌湖省级旅游度假区管理委员会2020年度政府信息公开工作年度报告。</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本报告由总体情况、主动公开政府信息情况、收到和处理政府信息公开申请情况、政府信息公开行政复议行政诉讼情况、存在的主要问题及改进情况、其他需要报告的事项6个部分组成。</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本报告中所列数据的统计期限自2020年1月1日起至2020年12月31日止。如对本报告有任何疑问，请与区管委会办公室联系（地址：文昌湖区萌水镇防汛路1号，电话：6030160，邮箱：wenchanghuqudgwgwhbgs@zb.shandong.cn）。</w:t>
      </w:r>
    </w:p>
    <w:p>
      <w:pPr>
        <w:rPr>
          <w:rFonts w:hint="eastAsia" w:ascii="黑体" w:hAnsi="黑体" w:eastAsia="黑体" w:cs="黑体"/>
          <w:sz w:val="32"/>
          <w:szCs w:val="32"/>
        </w:rPr>
      </w:pPr>
      <w:r>
        <w:rPr>
          <w:rFonts w:hint="eastAsia" w:ascii="黑体" w:hAnsi="黑体" w:eastAsia="黑体" w:cs="黑体"/>
          <w:sz w:val="32"/>
          <w:szCs w:val="32"/>
        </w:rPr>
        <w:t>一、总体情况</w:t>
      </w:r>
    </w:p>
    <w:p>
      <w:pPr>
        <w:ind w:firstLine="640" w:firstLineChars="200"/>
        <w:rPr>
          <w:rFonts w:hint="eastAsia" w:ascii="仿宋_GB2312" w:hAnsi="宋体" w:eastAsia="仿宋_GB2312" w:cs="仿宋_GB2312"/>
          <w:i w:val="0"/>
          <w:caps w:val="0"/>
          <w:color w:val="000000"/>
          <w:spacing w:val="0"/>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020年，</w:t>
      </w:r>
      <w:r>
        <w:rPr>
          <w:rFonts w:hint="eastAsia" w:ascii="Times New Roman" w:hAnsi="Times New Roman" w:eastAsia="仿宋_GB2312" w:cs="Times New Roman"/>
          <w:sz w:val="32"/>
          <w:szCs w:val="32"/>
        </w:rPr>
        <w:t>文昌湖区管委会</w:t>
      </w:r>
      <w:r>
        <w:rPr>
          <w:rFonts w:hint="eastAsia" w:ascii="Times New Roman" w:hAnsi="Times New Roman" w:eastAsia="仿宋_GB2312" w:cs="Times New Roman"/>
          <w:sz w:val="32"/>
          <w:szCs w:val="32"/>
          <w:lang w:val="en-US" w:eastAsia="zh-CN"/>
        </w:rPr>
        <w:t>以习近平新时代中国特色社会主义思想为指导，认真贯彻执行</w:t>
      </w:r>
      <w:r>
        <w:rPr>
          <w:rFonts w:hint="eastAsia" w:ascii="Times New Roman" w:hAnsi="Times New Roman" w:eastAsia="仿宋_GB2312" w:cs="Times New Roman"/>
          <w:sz w:val="32"/>
          <w:szCs w:val="32"/>
        </w:rPr>
        <w:t>《中华人民共和国政府信息公开条例》</w:t>
      </w:r>
      <w:r>
        <w:rPr>
          <w:rFonts w:hint="eastAsia" w:ascii="Times New Roman" w:hAnsi="Times New Roman" w:eastAsia="仿宋_GB2312" w:cs="Times New Roman"/>
          <w:sz w:val="32"/>
          <w:szCs w:val="32"/>
          <w:lang w:eastAsia="zh-CN"/>
        </w:rPr>
        <w:t>，</w:t>
      </w:r>
      <w:r>
        <w:rPr>
          <w:rFonts w:ascii="仿宋_GB2312" w:hAnsi="宋体" w:eastAsia="仿宋_GB2312" w:cs="仿宋_GB2312"/>
          <w:i w:val="0"/>
          <w:caps w:val="0"/>
          <w:color w:val="000000"/>
          <w:spacing w:val="0"/>
          <w:sz w:val="32"/>
          <w:szCs w:val="32"/>
        </w:rPr>
        <w:t>紧紧围绕</w:t>
      </w:r>
      <w:r>
        <w:rPr>
          <w:rFonts w:hint="eastAsia" w:ascii="仿宋_GB2312" w:hAnsi="宋体" w:eastAsia="仿宋_GB2312" w:cs="仿宋_GB2312"/>
          <w:i w:val="0"/>
          <w:caps w:val="0"/>
          <w:color w:val="000000"/>
          <w:spacing w:val="0"/>
          <w:sz w:val="32"/>
          <w:szCs w:val="32"/>
          <w:lang w:val="en-US" w:eastAsia="zh-CN"/>
        </w:rPr>
        <w:t>区工委管委会</w:t>
      </w:r>
      <w:r>
        <w:rPr>
          <w:rFonts w:ascii="仿宋_GB2312" w:hAnsi="宋体" w:eastAsia="仿宋_GB2312" w:cs="仿宋_GB2312"/>
          <w:i w:val="0"/>
          <w:caps w:val="0"/>
          <w:color w:val="000000"/>
          <w:spacing w:val="0"/>
          <w:sz w:val="32"/>
          <w:szCs w:val="32"/>
        </w:rPr>
        <w:t>中心工作，聚焦做好</w:t>
      </w:r>
      <w:r>
        <w:rPr>
          <w:rFonts w:hint="default" w:ascii="Times New Roman" w:hAnsi="Times New Roman" w:eastAsia="宋体" w:cs="Times New Roman"/>
          <w:i w:val="0"/>
          <w:caps w:val="0"/>
          <w:color w:val="000000"/>
          <w:spacing w:val="0"/>
          <w:sz w:val="32"/>
          <w:szCs w:val="32"/>
        </w:rPr>
        <w:t>“</w:t>
      </w:r>
      <w:r>
        <w:rPr>
          <w:rFonts w:hint="eastAsia" w:ascii="仿宋_GB2312" w:hAnsi="宋体" w:eastAsia="仿宋_GB2312" w:cs="仿宋_GB2312"/>
          <w:i w:val="0"/>
          <w:caps w:val="0"/>
          <w:color w:val="000000"/>
          <w:spacing w:val="0"/>
          <w:sz w:val="32"/>
          <w:szCs w:val="32"/>
        </w:rPr>
        <w:t>六稳</w:t>
      </w:r>
      <w:r>
        <w:rPr>
          <w:rFonts w:hint="default" w:ascii="Times New Roman" w:hAnsi="Times New Roman" w:eastAsia="宋体" w:cs="Times New Roman"/>
          <w:i w:val="0"/>
          <w:caps w:val="0"/>
          <w:color w:val="000000"/>
          <w:spacing w:val="0"/>
          <w:sz w:val="32"/>
          <w:szCs w:val="32"/>
        </w:rPr>
        <w:t>”</w:t>
      </w:r>
      <w:r>
        <w:rPr>
          <w:rFonts w:hint="eastAsia" w:ascii="仿宋_GB2312" w:hAnsi="宋体" w:eastAsia="仿宋_GB2312" w:cs="仿宋_GB2312"/>
          <w:i w:val="0"/>
          <w:caps w:val="0"/>
          <w:color w:val="000000"/>
          <w:spacing w:val="0"/>
          <w:sz w:val="32"/>
          <w:szCs w:val="32"/>
        </w:rPr>
        <w:t>工作、落实</w:t>
      </w:r>
      <w:r>
        <w:rPr>
          <w:rFonts w:hint="default" w:ascii="Times New Roman" w:hAnsi="Times New Roman" w:eastAsia="宋体" w:cs="Times New Roman"/>
          <w:i w:val="0"/>
          <w:caps w:val="0"/>
          <w:color w:val="000000"/>
          <w:spacing w:val="0"/>
          <w:sz w:val="32"/>
          <w:szCs w:val="32"/>
        </w:rPr>
        <w:t>“</w:t>
      </w:r>
      <w:r>
        <w:rPr>
          <w:rFonts w:hint="eastAsia" w:ascii="仿宋_GB2312" w:hAnsi="宋体" w:eastAsia="仿宋_GB2312" w:cs="仿宋_GB2312"/>
          <w:i w:val="0"/>
          <w:caps w:val="0"/>
          <w:color w:val="000000"/>
          <w:spacing w:val="0"/>
          <w:sz w:val="32"/>
          <w:szCs w:val="32"/>
        </w:rPr>
        <w:t>六保</w:t>
      </w:r>
      <w:r>
        <w:rPr>
          <w:rFonts w:hint="default" w:ascii="Times New Roman" w:hAnsi="Times New Roman" w:eastAsia="宋体" w:cs="Times New Roman"/>
          <w:i w:val="0"/>
          <w:caps w:val="0"/>
          <w:color w:val="000000"/>
          <w:spacing w:val="0"/>
          <w:sz w:val="32"/>
          <w:szCs w:val="32"/>
        </w:rPr>
        <w:t>”</w:t>
      </w:r>
      <w:r>
        <w:rPr>
          <w:rFonts w:hint="eastAsia" w:ascii="仿宋_GB2312" w:hAnsi="宋体" w:eastAsia="仿宋_GB2312" w:cs="仿宋_GB2312"/>
          <w:i w:val="0"/>
          <w:caps w:val="0"/>
          <w:color w:val="000000"/>
          <w:spacing w:val="0"/>
          <w:sz w:val="32"/>
          <w:szCs w:val="32"/>
        </w:rPr>
        <w:t>任务，着眼深化</w:t>
      </w:r>
      <w:r>
        <w:rPr>
          <w:rFonts w:hint="default" w:ascii="Times New Roman" w:hAnsi="Times New Roman" w:eastAsia="宋体" w:cs="Times New Roman"/>
          <w:i w:val="0"/>
          <w:caps w:val="0"/>
          <w:color w:val="000000"/>
          <w:spacing w:val="0"/>
          <w:sz w:val="32"/>
          <w:szCs w:val="32"/>
        </w:rPr>
        <w:t>“</w:t>
      </w:r>
      <w:r>
        <w:rPr>
          <w:rFonts w:hint="eastAsia" w:ascii="仿宋_GB2312" w:hAnsi="宋体" w:eastAsia="仿宋_GB2312" w:cs="仿宋_GB2312"/>
          <w:i w:val="0"/>
          <w:caps w:val="0"/>
          <w:color w:val="000000"/>
          <w:spacing w:val="0"/>
          <w:sz w:val="32"/>
          <w:szCs w:val="32"/>
        </w:rPr>
        <w:t>放管服</w:t>
      </w:r>
      <w:r>
        <w:rPr>
          <w:rFonts w:hint="default" w:ascii="Times New Roman" w:hAnsi="Times New Roman" w:eastAsia="宋体" w:cs="Times New Roman"/>
          <w:i w:val="0"/>
          <w:caps w:val="0"/>
          <w:color w:val="000000"/>
          <w:spacing w:val="0"/>
          <w:sz w:val="32"/>
          <w:szCs w:val="32"/>
        </w:rPr>
        <w:t>”</w:t>
      </w:r>
      <w:r>
        <w:rPr>
          <w:rFonts w:hint="eastAsia" w:ascii="仿宋_GB2312" w:hAnsi="宋体" w:eastAsia="仿宋_GB2312" w:cs="仿宋_GB2312"/>
          <w:i w:val="0"/>
          <w:caps w:val="0"/>
          <w:color w:val="000000"/>
          <w:spacing w:val="0"/>
          <w:sz w:val="32"/>
          <w:szCs w:val="32"/>
        </w:rPr>
        <w:t>改革优化营商环境，全力推动</w:t>
      </w:r>
      <w:r>
        <w:rPr>
          <w:rFonts w:hint="default" w:ascii="Times New Roman" w:hAnsi="Times New Roman" w:eastAsia="宋体" w:cs="Times New Roman"/>
          <w:i w:val="0"/>
          <w:caps w:val="0"/>
          <w:color w:val="000000"/>
          <w:spacing w:val="0"/>
          <w:sz w:val="32"/>
          <w:szCs w:val="32"/>
        </w:rPr>
        <w:t>26</w:t>
      </w:r>
      <w:r>
        <w:rPr>
          <w:rFonts w:hint="eastAsia" w:ascii="仿宋_GB2312" w:hAnsi="宋体" w:eastAsia="仿宋_GB2312" w:cs="仿宋_GB2312"/>
          <w:i w:val="0"/>
          <w:caps w:val="0"/>
          <w:color w:val="000000"/>
          <w:spacing w:val="0"/>
          <w:sz w:val="32"/>
          <w:szCs w:val="32"/>
        </w:rPr>
        <w:t>个试点领域基层政务公开标准化规范化工作，</w:t>
      </w:r>
      <w:r>
        <w:rPr>
          <w:rFonts w:hint="eastAsia" w:ascii="仿宋_GB2312" w:hAnsi="宋体" w:eastAsia="仿宋_GB2312" w:cs="仿宋_GB2312"/>
          <w:i w:val="0"/>
          <w:caps w:val="0"/>
          <w:color w:val="000000"/>
          <w:spacing w:val="0"/>
          <w:sz w:val="32"/>
          <w:szCs w:val="32"/>
          <w:lang w:val="en-US" w:eastAsia="zh-CN"/>
        </w:rPr>
        <w:t>进一步</w:t>
      </w:r>
      <w:r>
        <w:rPr>
          <w:rFonts w:hint="eastAsia" w:ascii="仿宋_GB2312" w:hAnsi="宋体" w:eastAsia="仿宋_GB2312" w:cs="仿宋_GB2312"/>
          <w:i w:val="0"/>
          <w:caps w:val="0"/>
          <w:color w:val="000000"/>
          <w:spacing w:val="0"/>
          <w:sz w:val="32"/>
          <w:szCs w:val="32"/>
        </w:rPr>
        <w:t>推进决策、执行、管理、服务、结果公开，提高行政效能，优化政务服务，更好保障人民群众的知情权、参与权、表达权和监督权，人民群众的获得感、幸福感和安全感显著增强。</w:t>
      </w:r>
    </w:p>
    <w:p>
      <w:pPr>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（一）主动公开情况</w:t>
      </w:r>
    </w:p>
    <w:p>
      <w:pPr>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rPr>
        <w:t>2020年度，</w:t>
      </w:r>
      <w:r>
        <w:rPr>
          <w:rFonts w:hint="eastAsia" w:ascii="Times New Roman" w:hAnsi="Times New Roman" w:eastAsia="仿宋_GB2312" w:cs="Times New Roman"/>
          <w:sz w:val="32"/>
          <w:szCs w:val="32"/>
          <w:lang w:val="en-US" w:eastAsia="zh-CN"/>
        </w:rPr>
        <w:t>文昌湖区管委会</w:t>
      </w:r>
      <w:r>
        <w:rPr>
          <w:rFonts w:hint="eastAsia" w:ascii="Times New Roman" w:hAnsi="Times New Roman" w:eastAsia="仿宋_GB2312" w:cs="Times New Roman"/>
          <w:sz w:val="32"/>
          <w:szCs w:val="32"/>
        </w:rPr>
        <w:t>充分发挥政府网站第一公开平台作用，</w:t>
      </w:r>
      <w:r>
        <w:rPr>
          <w:rFonts w:hint="default" w:ascii="Times New Roman" w:hAnsi="Times New Roman" w:eastAsia="仿宋_GB2312" w:cs="Times New Roman"/>
          <w:sz w:val="32"/>
          <w:szCs w:val="32"/>
        </w:rPr>
        <w:t>对涉及公众利益调整、需要公众广泛知晓或者需要公众参与决策的政府信息，以及涉及财政信息、重大建设项目、公共资源配置、社会公益事业等重点领域的信息，加大主动公开的力度</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2020年，通过区管委网站主动公开各类政府信息  1455条，比2019年增长31.56%，无人大代表建议和政协委员提案办理情况。</w:t>
      </w:r>
    </w:p>
    <w:p>
      <w:pPr>
        <w:numPr>
          <w:ilvl w:val="0"/>
          <w:numId w:val="1"/>
        </w:numPr>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推进决策公开</w:t>
      </w:r>
      <w:r>
        <w:rPr>
          <w:rFonts w:hint="eastAsia" w:ascii="Times New Roman" w:hAnsi="Times New Roman" w:eastAsia="仿宋_GB2312" w:cs="Times New Roman"/>
          <w:sz w:val="32"/>
          <w:szCs w:val="32"/>
          <w:lang w:val="en-US" w:eastAsia="zh-CN"/>
        </w:rPr>
        <w:t>方面：在区管委会</w:t>
      </w:r>
      <w:r>
        <w:rPr>
          <w:rFonts w:hint="default" w:ascii="Times New Roman" w:hAnsi="Times New Roman" w:eastAsia="仿宋_GB2312" w:cs="Times New Roman"/>
          <w:sz w:val="32"/>
          <w:szCs w:val="32"/>
        </w:rPr>
        <w:t>网站建立重大行政决策专栏，出台发布《</w:t>
      </w:r>
      <w:r>
        <w:rPr>
          <w:rFonts w:hint="eastAsia" w:ascii="Times New Roman" w:hAnsi="Times New Roman" w:eastAsia="仿宋_GB2312" w:cs="Times New Roman"/>
          <w:sz w:val="32"/>
          <w:szCs w:val="32"/>
          <w:lang w:val="en-US"/>
        </w:rPr>
        <w:t>2020</w:t>
      </w:r>
      <w:r>
        <w:rPr>
          <w:rFonts w:hint="eastAsia" w:ascii="Times New Roman" w:hAnsi="Times New Roman" w:eastAsia="仿宋_GB2312" w:cs="Times New Roman"/>
          <w:sz w:val="32"/>
          <w:szCs w:val="32"/>
        </w:rPr>
        <w:t>年度重大行政决策事项目录》</w:t>
      </w:r>
      <w:r>
        <w:rPr>
          <w:rFonts w:hint="eastAsia" w:ascii="Times New Roman" w:hAnsi="Times New Roman" w:eastAsia="仿宋_GB2312" w:cs="Times New Roman"/>
          <w:sz w:val="32"/>
          <w:szCs w:val="32"/>
          <w:lang w:eastAsia="zh-CN"/>
        </w:rPr>
        <w:t>，</w:t>
      </w:r>
    </w:p>
    <w:p>
      <w:pPr>
        <w:numPr>
          <w:ilvl w:val="0"/>
          <w:numId w:val="0"/>
        </w:num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drawing>
          <wp:anchor distT="0" distB="0" distL="114300" distR="114300" simplePos="0" relativeHeight="251659264" behindDoc="0" locked="0" layoutInCell="1" allowOverlap="1">
            <wp:simplePos x="0" y="0"/>
            <wp:positionH relativeFrom="column">
              <wp:posOffset>3124835</wp:posOffset>
            </wp:positionH>
            <wp:positionV relativeFrom="paragraph">
              <wp:posOffset>45085</wp:posOffset>
            </wp:positionV>
            <wp:extent cx="2216785" cy="2191385"/>
            <wp:effectExtent l="0" t="0" r="12065" b="18415"/>
            <wp:wrapSquare wrapText="bothSides"/>
            <wp:docPr id="18" name="图片 18" descr="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目录"/>
                    <pic:cNvPicPr>
                      <a:picLocks noChangeAspect="1"/>
                    </pic:cNvPicPr>
                  </pic:nvPicPr>
                  <pic:blipFill>
                    <a:blip r:embed="rId4"/>
                    <a:stretch>
                      <a:fillRect/>
                    </a:stretch>
                  </pic:blipFill>
                  <pic:spPr>
                    <a:xfrm>
                      <a:off x="0" y="0"/>
                      <a:ext cx="2216785" cy="2191385"/>
                    </a:xfrm>
                    <a:prstGeom prst="rect">
                      <a:avLst/>
                    </a:prstGeom>
                  </pic:spPr>
                </pic:pic>
              </a:graphicData>
            </a:graphic>
          </wp:anchor>
        </w:drawing>
      </w:r>
      <w:r>
        <w:rPr>
          <w:rFonts w:hint="eastAsia" w:ascii="Times New Roman" w:hAnsi="Times New Roman" w:eastAsia="仿宋_GB2312" w:cs="Times New Roman"/>
          <w:sz w:val="32"/>
          <w:szCs w:val="32"/>
          <w:lang w:val="en-US" w:eastAsia="zh-CN"/>
        </w:rPr>
        <w:t>并</w:t>
      </w:r>
      <w:r>
        <w:rPr>
          <w:rFonts w:hint="eastAsia" w:ascii="Times New Roman" w:hAnsi="Times New Roman" w:eastAsia="仿宋_GB2312" w:cs="Times New Roman"/>
          <w:sz w:val="32"/>
          <w:szCs w:val="32"/>
        </w:rPr>
        <w:t>通过征集调查栏目发布意见征集信息，并将反馈意见及时进行公开</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2020年共公开</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次</w:t>
      </w:r>
      <w:r>
        <w:rPr>
          <w:rFonts w:hint="eastAsia" w:ascii="Times New Roman" w:hAnsi="Times New Roman" w:eastAsia="仿宋_GB2312" w:cs="Times New Roman"/>
          <w:sz w:val="32"/>
          <w:szCs w:val="32"/>
          <w:lang w:val="en-US" w:eastAsia="zh-CN"/>
        </w:rPr>
        <w:t>工委会</w:t>
      </w:r>
      <w:r>
        <w:rPr>
          <w:rFonts w:hint="default" w:ascii="Times New Roman" w:hAnsi="Times New Roman" w:eastAsia="仿宋_GB2312" w:cs="Times New Roman"/>
          <w:sz w:val="32"/>
          <w:szCs w:val="32"/>
        </w:rPr>
        <w:t>议，</w:t>
      </w:r>
      <w:r>
        <w:rPr>
          <w:rFonts w:hint="eastAsia" w:ascii="Times New Roman" w:hAnsi="Times New Roman" w:eastAsia="仿宋_GB2312" w:cs="Times New Roman"/>
          <w:sz w:val="32"/>
          <w:szCs w:val="32"/>
        </w:rPr>
        <w:t>公开了会议议定事项；利用政策</w:t>
      </w:r>
      <w:r>
        <w:rPr>
          <w:rFonts w:hint="eastAsia" w:ascii="Times New Roman" w:hAnsi="Times New Roman" w:eastAsia="仿宋_GB2312" w:cs="Times New Roman"/>
          <w:sz w:val="32"/>
          <w:szCs w:val="32"/>
          <w:lang w:val="en-US" w:eastAsia="zh-CN"/>
        </w:rPr>
        <w:t>解读</w:t>
      </w:r>
      <w:r>
        <w:rPr>
          <w:rFonts w:hint="eastAsia" w:ascii="Times New Roman" w:hAnsi="Times New Roman" w:eastAsia="仿宋_GB2312" w:cs="Times New Roman"/>
          <w:sz w:val="32"/>
          <w:szCs w:val="32"/>
        </w:rPr>
        <w:t>栏目，针对当前热点以及惠民政策等方面，公开发布相关政策文件及解读信息</w:t>
      </w:r>
      <w:r>
        <w:rPr>
          <w:rFonts w:hint="eastAsia" w:ascii="Times New Roman" w:hAnsi="Times New Roman" w:eastAsia="仿宋_GB2312" w:cs="Times New Roman"/>
          <w:sz w:val="32"/>
          <w:szCs w:val="32"/>
          <w:lang w:val="en-US" w:eastAsia="zh-CN"/>
        </w:rPr>
        <w:t>11</w:t>
      </w:r>
      <w:r>
        <w:rPr>
          <w:rFonts w:hint="eastAsia" w:ascii="Times New Roman" w:hAnsi="Times New Roman" w:eastAsia="仿宋_GB2312" w:cs="Times New Roman"/>
          <w:sz w:val="32"/>
          <w:szCs w:val="32"/>
        </w:rPr>
        <w:t>条。</w:t>
      </w:r>
    </w:p>
    <w:p>
      <w:pPr>
        <w:numPr>
          <w:ilvl w:val="0"/>
          <w:numId w:val="1"/>
        </w:numPr>
        <w:ind w:left="0" w:leftChars="0" w:firstLine="640" w:firstLineChars="200"/>
        <w:jc w:val="left"/>
        <w:rPr>
          <w:rFonts w:hint="eastAsia" w:ascii="Times New Roman" w:hAnsi="Times New Roman" w:eastAsia="仿宋_GB2312" w:cs="Times New Roman"/>
          <w:b w:val="0"/>
          <w:kern w:val="2"/>
          <w:sz w:val="32"/>
          <w:szCs w:val="32"/>
          <w:lang w:val="en-US" w:eastAsia="zh-CN" w:bidi="ar-SA"/>
        </w:rPr>
      </w:pPr>
      <w:r>
        <w:rPr>
          <w:rFonts w:hint="eastAsia" w:ascii="Times New Roman" w:hAnsi="Times New Roman" w:eastAsia="仿宋_GB2312" w:cs="Times New Roman"/>
          <w:b w:val="0"/>
          <w:kern w:val="2"/>
          <w:sz w:val="32"/>
          <w:szCs w:val="32"/>
          <w:lang w:val="en-US" w:eastAsia="zh-CN" w:bidi="ar-SA"/>
        </w:rPr>
        <w:drawing>
          <wp:anchor distT="0" distB="0" distL="114300" distR="114300" simplePos="0" relativeHeight="251661312" behindDoc="0" locked="0" layoutInCell="1" allowOverlap="1">
            <wp:simplePos x="0" y="0"/>
            <wp:positionH relativeFrom="column">
              <wp:posOffset>10160</wp:posOffset>
            </wp:positionH>
            <wp:positionV relativeFrom="paragraph">
              <wp:posOffset>1275715</wp:posOffset>
            </wp:positionV>
            <wp:extent cx="1884045" cy="2697480"/>
            <wp:effectExtent l="0" t="0" r="1905" b="7620"/>
            <wp:wrapSquare wrapText="bothSides"/>
            <wp:docPr id="22" name="图片 22" descr="执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执法"/>
                    <pic:cNvPicPr>
                      <a:picLocks noChangeAspect="1"/>
                    </pic:cNvPicPr>
                  </pic:nvPicPr>
                  <pic:blipFill>
                    <a:blip r:embed="rId5"/>
                    <a:stretch>
                      <a:fillRect/>
                    </a:stretch>
                  </pic:blipFill>
                  <pic:spPr>
                    <a:xfrm>
                      <a:off x="0" y="0"/>
                      <a:ext cx="1884045" cy="2697480"/>
                    </a:xfrm>
                    <a:prstGeom prst="rect">
                      <a:avLst/>
                    </a:prstGeom>
                  </pic:spPr>
                </pic:pic>
              </a:graphicData>
            </a:graphic>
          </wp:anchor>
        </w:drawing>
      </w:r>
      <w:r>
        <w:rPr>
          <w:rFonts w:hint="eastAsia" w:ascii="Times New Roman" w:hAnsi="Times New Roman" w:eastAsia="仿宋_GB2312" w:cs="Times New Roman"/>
          <w:b w:val="0"/>
          <w:kern w:val="2"/>
          <w:sz w:val="32"/>
          <w:szCs w:val="32"/>
          <w:lang w:val="en-US" w:eastAsia="zh-CN" w:bidi="ar-SA"/>
        </w:rPr>
        <w:drawing>
          <wp:anchor distT="0" distB="0" distL="114300" distR="114300" simplePos="0" relativeHeight="251660288" behindDoc="1" locked="0" layoutInCell="1" allowOverlap="1">
            <wp:simplePos x="0" y="0"/>
            <wp:positionH relativeFrom="column">
              <wp:posOffset>3895090</wp:posOffset>
            </wp:positionH>
            <wp:positionV relativeFrom="paragraph">
              <wp:posOffset>2449830</wp:posOffset>
            </wp:positionV>
            <wp:extent cx="1637665" cy="2613025"/>
            <wp:effectExtent l="0" t="0" r="38735" b="15875"/>
            <wp:wrapTight wrapText="bothSides">
              <wp:wrapPolygon>
                <wp:start x="0" y="0"/>
                <wp:lineTo x="0" y="21416"/>
                <wp:lineTo x="21357" y="21416"/>
                <wp:lineTo x="21357" y="0"/>
                <wp:lineTo x="0" y="0"/>
              </wp:wrapPolygon>
            </wp:wrapTight>
            <wp:docPr id="21" name="图片 21" descr="双随机一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双随机一公开"/>
                    <pic:cNvPicPr>
                      <a:picLocks noChangeAspect="1"/>
                    </pic:cNvPicPr>
                  </pic:nvPicPr>
                  <pic:blipFill>
                    <a:blip r:embed="rId6"/>
                    <a:stretch>
                      <a:fillRect/>
                    </a:stretch>
                  </pic:blipFill>
                  <pic:spPr>
                    <a:xfrm>
                      <a:off x="0" y="0"/>
                      <a:ext cx="1637665" cy="2613025"/>
                    </a:xfrm>
                    <a:prstGeom prst="rect">
                      <a:avLst/>
                    </a:prstGeom>
                  </pic:spPr>
                </pic:pic>
              </a:graphicData>
            </a:graphic>
          </wp:anchor>
        </w:drawing>
      </w:r>
      <w:r>
        <w:rPr>
          <w:rFonts w:hint="default" w:ascii="Times New Roman" w:hAnsi="Times New Roman" w:eastAsia="仿宋_GB2312" w:cs="Times New Roman"/>
          <w:sz w:val="32"/>
          <w:szCs w:val="32"/>
        </w:rPr>
        <w:t>推进管理和服务公开</w:t>
      </w:r>
      <w:r>
        <w:rPr>
          <w:rFonts w:hint="eastAsia" w:ascii="Times New Roman" w:hAnsi="Times New Roman" w:eastAsia="仿宋_GB2312" w:cs="Times New Roman"/>
          <w:sz w:val="32"/>
          <w:szCs w:val="32"/>
          <w:lang w:val="en-US" w:eastAsia="zh-CN"/>
        </w:rPr>
        <w:t>方面：及时更新文昌湖区</w:t>
      </w:r>
      <w:r>
        <w:rPr>
          <w:rFonts w:hint="default" w:ascii="Times New Roman" w:hAnsi="Times New Roman" w:eastAsia="仿宋_GB2312" w:cs="Times New Roman"/>
          <w:sz w:val="32"/>
          <w:szCs w:val="32"/>
        </w:rPr>
        <w:t>权责清单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动态调整，及时公布</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全</w:t>
      </w:r>
      <w:r>
        <w:rPr>
          <w:rFonts w:hint="default" w:ascii="Times New Roman" w:hAnsi="Times New Roman" w:eastAsia="仿宋_GB2312" w:cs="Times New Roman"/>
          <w:sz w:val="32"/>
          <w:szCs w:val="32"/>
        </w:rPr>
        <w:t>面贯彻落实行政执法公示制度。建立“行政执法”专栏，做好事前事后公开，集中发布各机关执法服务指南、执法流程等信息，做到执法结果按时公开</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加强“双随机、一公开”监管。建立“双随机、一公开”专栏，及时、准确、规范向社会公开各单位随机抽查事项清单、抽查计划、抽查结果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优化涉企服务</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围绕“放管服”改革，着力做好实施减税降费、事项划转、政务服务“好差评”等方面的信息公开工作。</w:t>
      </w:r>
    </w:p>
    <w:p>
      <w:pPr>
        <w:numPr>
          <w:ilvl w:val="0"/>
          <w:numId w:val="1"/>
        </w:num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推进执行和结果公开方面。（1）重要工作部署按时</w:t>
      </w:r>
      <w:r>
        <w:rPr>
          <w:rFonts w:hint="eastAsia" w:ascii="Times New Roman" w:hAnsi="Times New Roman" w:eastAsia="仿宋_GB2312" w:cs="Times New Roman"/>
          <w:sz w:val="32"/>
          <w:szCs w:val="32"/>
          <w:lang w:val="en-US" w:eastAsia="zh-CN"/>
        </w:rPr>
        <w:t>公开</w:t>
      </w:r>
      <w:r>
        <w:rPr>
          <w:rFonts w:hint="default" w:ascii="Times New Roman" w:hAnsi="Times New Roman" w:eastAsia="仿宋_GB2312" w:cs="Times New Roman"/>
          <w:sz w:val="32"/>
          <w:szCs w:val="32"/>
          <w:lang w:val="en-US" w:eastAsia="zh-CN"/>
        </w:rPr>
        <w:t>。围绕年度重点工作、民生实事项目等重大决策部署，细化分解任务，及时公开执行措施、实施步骤、责任分工、监督方式等，按时公开项目工作进展，接受群众监督。（2）财政预决算按时公开。建立财政信息发布专栏，及时公开区管委会及各部门、各镇财政预决算及“三公”经费预决算。（3）持续推进重点领域信息公开。一是在重大建设项目和公共资源配置方面。根据重大项目进展及时公开项目批准结果、招投标、征收土地、重大设计变更、施工、质量安全监督、竣工等信息。做好对保障性安居工程建设信息公开。加大公共资源配置领域信息公开力度，依托淄博市公共资源交易中心平台，及时公开交易成交信息，推动实现公共资源交易全流程透明化。二是在重点民生与公益事业方面。分级分类对社会救助、社会福利、脱贫攻坚等领域信息进行公开，公开我区基层卫生机构基本情况和基本公共卫生服务项目承担机构信息，进一步扩大学前教育、义务教育段入学等信息公开范。四是公共监管信息方面。每月发布空气质量检测信息，每季度发布供水厂出水水质检测报告和饮用水水源水质检测报告；及时发布相关产品质量监督抽查结果公告和食品药品抽检结果信息4条；发布突发事件总体预案及17个专项应急预案。</w:t>
      </w:r>
    </w:p>
    <w:p>
      <w:pPr>
        <w:numPr>
          <w:ilvl w:val="0"/>
          <w:numId w:val="0"/>
        </w:numPr>
        <w:ind w:leftChars="20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3395980" cy="3073400"/>
            <wp:effectExtent l="0" t="0" r="13970" b="12700"/>
            <wp:docPr id="25" name="图片 25" descr="重要举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重要举措"/>
                    <pic:cNvPicPr>
                      <a:picLocks noChangeAspect="1"/>
                    </pic:cNvPicPr>
                  </pic:nvPicPr>
                  <pic:blipFill>
                    <a:blip r:embed="rId7"/>
                    <a:stretch>
                      <a:fillRect/>
                    </a:stretch>
                  </pic:blipFill>
                  <pic:spPr>
                    <a:xfrm>
                      <a:off x="0" y="0"/>
                      <a:ext cx="3395980" cy="3073400"/>
                    </a:xfrm>
                    <a:prstGeom prst="rect">
                      <a:avLst/>
                    </a:prstGeom>
                  </pic:spPr>
                </pic:pic>
              </a:graphicData>
            </a:graphic>
          </wp:inline>
        </w:drawing>
      </w:r>
    </w:p>
    <w:p>
      <w:pPr>
        <w:numPr>
          <w:ilvl w:val="0"/>
          <w:numId w:val="0"/>
        </w:numPr>
        <w:ind w:leftChars="20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3420110" cy="3817620"/>
            <wp:effectExtent l="0" t="0" r="8890" b="11430"/>
            <wp:docPr id="26" name="图片 26" descr="扶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扶贫"/>
                    <pic:cNvPicPr>
                      <a:picLocks noChangeAspect="1"/>
                    </pic:cNvPicPr>
                  </pic:nvPicPr>
                  <pic:blipFill>
                    <a:blip r:embed="rId8"/>
                    <a:stretch>
                      <a:fillRect/>
                    </a:stretch>
                  </pic:blipFill>
                  <pic:spPr>
                    <a:xfrm>
                      <a:off x="0" y="0"/>
                      <a:ext cx="3420110" cy="3817620"/>
                    </a:xfrm>
                    <a:prstGeom prst="rect">
                      <a:avLst/>
                    </a:prstGeom>
                  </pic:spPr>
                </pic:pic>
              </a:graphicData>
            </a:graphic>
          </wp:inline>
        </w:drawing>
      </w:r>
    </w:p>
    <w:p>
      <w:pPr>
        <w:numPr>
          <w:ilvl w:val="0"/>
          <w:numId w:val="0"/>
        </w:numPr>
        <w:ind w:leftChars="200"/>
        <w:rPr>
          <w:rFonts w:hint="default" w:ascii="Times New Roman" w:hAnsi="Times New Roman" w:eastAsia="仿宋_GB2312" w:cs="Times New Roman"/>
          <w:sz w:val="32"/>
          <w:szCs w:val="32"/>
          <w:lang w:val="en-US" w:eastAsia="zh-CN"/>
        </w:rPr>
      </w:pPr>
    </w:p>
    <w:p>
      <w:pPr>
        <w:numPr>
          <w:ilvl w:val="0"/>
          <w:numId w:val="2"/>
        </w:num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依申请公开情况</w:t>
      </w:r>
    </w:p>
    <w:p>
      <w:pPr>
        <w:numPr>
          <w:ilvl w:val="0"/>
          <w:numId w:val="0"/>
        </w:numPr>
        <w:ind w:firstLine="640" w:firstLineChars="200"/>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rPr>
        <w:t>在抓好主动公开的同时，依照《条例》和国办《关于做好政府信息依申请公开工作的意见》要求，进一步规范做好依申请公开工作</w:t>
      </w:r>
      <w:r>
        <w:rPr>
          <w:rFonts w:hint="default" w:ascii="Times New Roman" w:hAnsi="Times New Roman" w:eastAsia="仿宋_GB2312" w:cs="Times New Roman"/>
          <w:sz w:val="32"/>
          <w:szCs w:val="32"/>
        </w:rPr>
        <w:t>。2020年，全区累计受理依申请公开</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件，其中：信函申请1件，</w:t>
      </w:r>
      <w:r>
        <w:rPr>
          <w:rFonts w:hint="default" w:ascii="Times New Roman" w:hAnsi="Times New Roman" w:eastAsia="仿宋_GB2312" w:cs="Times New Roman"/>
          <w:sz w:val="32"/>
          <w:szCs w:val="32"/>
          <w:lang w:val="en-US" w:eastAsia="zh-CN"/>
        </w:rPr>
        <w:t>当面申请1件，网上申请</w:t>
      </w:r>
      <w:r>
        <w:rPr>
          <w:rFonts w:hint="default" w:ascii="Times New Roman" w:hAnsi="Times New Roman" w:eastAsia="仿宋_GB2312" w:cs="Times New Roman"/>
          <w:sz w:val="32"/>
          <w:szCs w:val="32"/>
        </w:rPr>
        <w:t>3件，按时办结</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件，无结转下年度继续办理件。</w:t>
      </w:r>
    </w:p>
    <w:p>
      <w:pPr>
        <w:numPr>
          <w:ilvl w:val="0"/>
          <w:numId w:val="2"/>
        </w:numPr>
        <w:ind w:firstLine="640" w:firstLineChars="200"/>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政府信息管理情况</w:t>
      </w:r>
    </w:p>
    <w:p>
      <w:pPr>
        <w:numPr>
          <w:ilvl w:val="0"/>
          <w:numId w:val="0"/>
        </w:numPr>
        <w:ind w:firstLine="640" w:firstLineChars="200"/>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一是制定工作任务。按照国办和省市政务公开工作要求，结合文昌湖区实际，制定印发《2020年文昌湖区政务公开要点》（淄文昌管办字〔2020〕43号），将区管委会年度中心工作、“五公开”、基层政务公开标准化规范化等工作任务，逐项细化分解，进一步明确分工、压实责任。二是编制政务公开标准目录。印发《文昌湖区全面推进基层政务公开标准化规范化工作实施方案》（淄文昌管办字〔2020〕40号），组织各部门、各镇完成政务公开标准目录编制工作</w:t>
      </w:r>
      <w:r>
        <w:rPr>
          <w:rFonts w:hint="eastAsia" w:ascii="Times New Roman" w:hAnsi="Times New Roman" w:eastAsia="仿宋_GB2312" w:cs="Times New Roman"/>
          <w:sz w:val="32"/>
          <w:szCs w:val="32"/>
          <w:lang w:eastAsia="zh-CN"/>
        </w:rPr>
        <w:t>，</w:t>
      </w:r>
      <w:r>
        <w:rPr>
          <w:rFonts w:ascii="仿宋" w:hAnsi="仿宋" w:eastAsia="仿宋" w:cs="仿宋"/>
          <w:i w:val="0"/>
          <w:caps w:val="0"/>
          <w:color w:val="000000"/>
          <w:spacing w:val="0"/>
          <w:sz w:val="32"/>
          <w:szCs w:val="32"/>
          <w:shd w:val="clear" w:fill="FFFFFF"/>
        </w:rPr>
        <w:t>按要求公开执行。</w:t>
      </w:r>
      <w:r>
        <w:rPr>
          <w:rFonts w:hint="default" w:ascii="Times New Roman" w:hAnsi="Times New Roman" w:eastAsia="仿宋_GB2312" w:cs="Times New Roman"/>
          <w:sz w:val="32"/>
          <w:szCs w:val="32"/>
        </w:rPr>
        <w:t>对照国务院部门制定的26个试点领域标准指引，全面梳理细化各自政务公开事项，并在门户网站公布，进一步推进政务公开标准化、规范化建设。</w:t>
      </w:r>
      <w:r>
        <w:rPr>
          <w:rFonts w:hint="eastAsia" w:ascii="Times New Roman" w:hAnsi="Times New Roman" w:eastAsia="仿宋_GB2312" w:cs="Times New Roman"/>
          <w:sz w:val="32"/>
          <w:szCs w:val="32"/>
          <w:lang w:val="en-US" w:eastAsia="zh-CN"/>
        </w:rPr>
        <w:t>三是</w:t>
      </w:r>
      <w:r>
        <w:rPr>
          <w:rFonts w:hint="default" w:ascii="Times New Roman" w:hAnsi="Times New Roman" w:eastAsia="仿宋_GB2312" w:cs="Times New Roman"/>
          <w:sz w:val="32"/>
          <w:szCs w:val="32"/>
        </w:rPr>
        <w:t>加强信息内容建设和信息发布审核</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不定期抽查</w:t>
      </w:r>
      <w:r>
        <w:rPr>
          <w:rFonts w:hint="eastAsia" w:ascii="Times New Roman" w:hAnsi="Times New Roman" w:eastAsia="仿宋_GB2312" w:cs="Times New Roman"/>
          <w:sz w:val="32"/>
          <w:szCs w:val="32"/>
          <w:lang w:val="en-US" w:eastAsia="zh-CN"/>
        </w:rPr>
        <w:t>各镇、</w:t>
      </w:r>
      <w:r>
        <w:rPr>
          <w:rFonts w:hint="default" w:ascii="Times New Roman" w:hAnsi="Times New Roman" w:eastAsia="仿宋_GB2312" w:cs="Times New Roman"/>
          <w:sz w:val="32"/>
          <w:szCs w:val="32"/>
        </w:rPr>
        <w:t>各</w:t>
      </w:r>
      <w:r>
        <w:rPr>
          <w:rFonts w:hint="eastAsia" w:ascii="Times New Roman" w:hAnsi="Times New Roman" w:eastAsia="仿宋_GB2312" w:cs="Times New Roman"/>
          <w:sz w:val="32"/>
          <w:szCs w:val="32"/>
          <w:lang w:val="en-US" w:eastAsia="zh-CN"/>
        </w:rPr>
        <w:t>部门</w:t>
      </w:r>
      <w:r>
        <w:rPr>
          <w:rFonts w:hint="default" w:ascii="Times New Roman" w:hAnsi="Times New Roman" w:eastAsia="仿宋_GB2312" w:cs="Times New Roman"/>
          <w:sz w:val="32"/>
          <w:szCs w:val="32"/>
        </w:rPr>
        <w:t>发布的信息，对出现错误的及时纠正，保障信息安全。</w:t>
      </w:r>
    </w:p>
    <w:p>
      <w:pPr>
        <w:numPr>
          <w:ilvl w:val="0"/>
          <w:numId w:val="0"/>
        </w:numPr>
        <w:ind w:firstLine="640" w:firstLineChars="200"/>
        <w:rPr>
          <w:rFonts w:hint="default" w:ascii="Times New Roman" w:hAnsi="Times New Roman" w:eastAsia="仿宋_GB2312" w:cs="Times New Roman"/>
          <w:sz w:val="32"/>
          <w:szCs w:val="32"/>
        </w:rPr>
      </w:pPr>
      <w:r>
        <w:rPr>
          <w:sz w:val="32"/>
        </w:rPr>
        <mc:AlternateContent>
          <mc:Choice Requires="wps">
            <w:drawing>
              <wp:anchor distT="0" distB="0" distL="114300" distR="114300" simplePos="0" relativeHeight="251663360" behindDoc="0" locked="0" layoutInCell="1" allowOverlap="1">
                <wp:simplePos x="0" y="0"/>
                <wp:positionH relativeFrom="column">
                  <wp:posOffset>661035</wp:posOffset>
                </wp:positionH>
                <wp:positionV relativeFrom="paragraph">
                  <wp:posOffset>83185</wp:posOffset>
                </wp:positionV>
                <wp:extent cx="2013585" cy="2741930"/>
                <wp:effectExtent l="4445" t="4445" r="20320" b="15875"/>
                <wp:wrapNone/>
                <wp:docPr id="29" name="文本框 29"/>
                <wp:cNvGraphicFramePr/>
                <a:graphic xmlns:a="http://schemas.openxmlformats.org/drawingml/2006/main">
                  <a:graphicData uri="http://schemas.microsoft.com/office/word/2010/wordprocessingShape">
                    <wps:wsp>
                      <wps:cNvSpPr txBox="1"/>
                      <wps:spPr>
                        <a:xfrm>
                          <a:off x="4390390" y="4838065"/>
                          <a:ext cx="2013585" cy="2741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eastAsia="仿宋_GB2312" w:cs="Times New Roman"/>
                                <w:sz w:val="32"/>
                                <w:szCs w:val="32"/>
                                <w:lang w:eastAsia="zh-CN"/>
                              </w:rPr>
                              <w:drawing>
                                <wp:inline distT="0" distB="0" distL="114300" distR="114300">
                                  <wp:extent cx="1747520" cy="2491105"/>
                                  <wp:effectExtent l="0" t="0" r="5080" b="4445"/>
                                  <wp:docPr id="28" name="图片 28" descr="规范化实施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规范化实施方案"/>
                                          <pic:cNvPicPr>
                                            <a:picLocks noChangeAspect="1"/>
                                          </pic:cNvPicPr>
                                        </pic:nvPicPr>
                                        <pic:blipFill>
                                          <a:blip r:embed="rId9"/>
                                          <a:stretch>
                                            <a:fillRect/>
                                          </a:stretch>
                                        </pic:blipFill>
                                        <pic:spPr>
                                          <a:xfrm>
                                            <a:off x="0" y="0"/>
                                            <a:ext cx="1747520" cy="2491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05pt;margin-top:6.55pt;height:215.9pt;width:158.55pt;z-index:251663360;mso-width-relative:page;mso-height-relative:page;" fillcolor="#FFFFFF [3201]" filled="t" stroked="t" coordsize="21600,21600" o:gfxdata="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b5oO/VAAAACgEAAA8AAAAAAAAAAQAgAAAAIgAAAGRycy9kb3ducmV2LnhtbFBLAQIU&#10;ABQAAAAIAIdO4kC3t0+haAIAAMYEAAAOAAAAAAAAAAEAIAAAACQBAABkcnMvZTJvRG9jLnhtbFBL&#10;BQYAAAAABgAGAFkBAAD+BQAAAAA=&#10;">
                <v:fill on="t" focussize="0,0"/>
                <v:stroke weight="0.5pt" color="#000000 [3204]" joinstyle="round"/>
                <v:imagedata o:title=""/>
                <o:lock v:ext="edit" aspectratio="f"/>
                <v:textbox>
                  <w:txbxContent>
                    <w:p>
                      <w:r>
                        <w:rPr>
                          <w:rFonts w:hint="eastAsia" w:ascii="Times New Roman" w:hAnsi="Times New Roman" w:eastAsia="仿宋_GB2312" w:cs="Times New Roman"/>
                          <w:sz w:val="32"/>
                          <w:szCs w:val="32"/>
                          <w:lang w:eastAsia="zh-CN"/>
                        </w:rPr>
                        <w:drawing>
                          <wp:inline distT="0" distB="0" distL="114300" distR="114300">
                            <wp:extent cx="1747520" cy="2491105"/>
                            <wp:effectExtent l="0" t="0" r="5080" b="4445"/>
                            <wp:docPr id="28" name="图片 28" descr="规范化实施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规范化实施方案"/>
                                    <pic:cNvPicPr>
                                      <a:picLocks noChangeAspect="1"/>
                                    </pic:cNvPicPr>
                                  </pic:nvPicPr>
                                  <pic:blipFill>
                                    <a:blip r:embed="rId9"/>
                                    <a:stretch>
                                      <a:fillRect/>
                                    </a:stretch>
                                  </pic:blipFill>
                                  <pic:spPr>
                                    <a:xfrm>
                                      <a:off x="0" y="0"/>
                                      <a:ext cx="1747520" cy="2491105"/>
                                    </a:xfrm>
                                    <a:prstGeom prst="rect">
                                      <a:avLst/>
                                    </a:prstGeom>
                                  </pic:spPr>
                                </pic:pic>
                              </a:graphicData>
                            </a:graphic>
                          </wp:inline>
                        </w:drawing>
                      </w:r>
                    </w:p>
                  </w:txbxContent>
                </v:textbox>
              </v:shape>
            </w:pict>
          </mc:Fallback>
        </mc:AlternateContent>
      </w:r>
      <w:r>
        <w:rPr>
          <w:rFonts w:hint="default" w:ascii="Times New Roman" w:hAnsi="Times New Roman" w:eastAsia="仿宋_GB2312" w:cs="Times New Roman"/>
          <w:sz w:val="32"/>
          <w:szCs w:val="32"/>
        </w:rPr>
        <w:drawing>
          <wp:anchor distT="0" distB="0" distL="114300" distR="114300" simplePos="0" relativeHeight="251662336" behindDoc="0" locked="0" layoutInCell="1" allowOverlap="1">
            <wp:simplePos x="0" y="0"/>
            <wp:positionH relativeFrom="column">
              <wp:posOffset>132080</wp:posOffset>
            </wp:positionH>
            <wp:positionV relativeFrom="paragraph">
              <wp:posOffset>116205</wp:posOffset>
            </wp:positionV>
            <wp:extent cx="1929130" cy="2761615"/>
            <wp:effectExtent l="0" t="0" r="13970" b="635"/>
            <wp:wrapSquare wrapText="bothSides"/>
            <wp:docPr id="27" name="图片 27" descr="政务公开要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政务公开要点"/>
                    <pic:cNvPicPr>
                      <a:picLocks noChangeAspect="1"/>
                    </pic:cNvPicPr>
                  </pic:nvPicPr>
                  <pic:blipFill>
                    <a:blip r:embed="rId10"/>
                    <a:stretch>
                      <a:fillRect/>
                    </a:stretch>
                  </pic:blipFill>
                  <pic:spPr>
                    <a:xfrm>
                      <a:off x="0" y="0"/>
                      <a:ext cx="1929130" cy="2761615"/>
                    </a:xfrm>
                    <a:prstGeom prst="rect">
                      <a:avLst/>
                    </a:prstGeom>
                  </pic:spPr>
                </pic:pic>
              </a:graphicData>
            </a:graphic>
          </wp:anchor>
        </w:drawing>
      </w:r>
    </w:p>
    <w:p>
      <w:pPr>
        <w:numPr>
          <w:ilvl w:val="0"/>
          <w:numId w:val="0"/>
        </w:numPr>
        <w:ind w:firstLine="640" w:firstLineChars="200"/>
        <w:rPr>
          <w:rFonts w:hint="default" w:ascii="Times New Roman" w:hAnsi="Times New Roman" w:eastAsia="仿宋_GB2312" w:cs="Times New Roman"/>
          <w:sz w:val="32"/>
          <w:szCs w:val="32"/>
        </w:rPr>
      </w:pPr>
    </w:p>
    <w:p>
      <w:pPr>
        <w:numPr>
          <w:ilvl w:val="0"/>
          <w:numId w:val="0"/>
        </w:numPr>
        <w:ind w:firstLine="640" w:firstLineChars="200"/>
        <w:rPr>
          <w:rFonts w:hint="default" w:ascii="Times New Roman" w:hAnsi="Times New Roman" w:eastAsia="仿宋_GB2312" w:cs="Times New Roman"/>
          <w:sz w:val="32"/>
          <w:szCs w:val="32"/>
        </w:rPr>
      </w:pPr>
    </w:p>
    <w:p>
      <w:pPr>
        <w:numPr>
          <w:ilvl w:val="0"/>
          <w:numId w:val="0"/>
        </w:numPr>
        <w:ind w:firstLine="640" w:firstLineChars="200"/>
        <w:rPr>
          <w:rFonts w:hint="default" w:ascii="Times New Roman" w:hAnsi="Times New Roman" w:eastAsia="仿宋_GB2312" w:cs="Times New Roman"/>
          <w:sz w:val="32"/>
          <w:szCs w:val="32"/>
        </w:rPr>
      </w:pPr>
    </w:p>
    <w:p>
      <w:pPr>
        <w:numPr>
          <w:ilvl w:val="0"/>
          <w:numId w:val="0"/>
        </w:numPr>
        <w:ind w:firstLine="640" w:firstLineChars="200"/>
        <w:rPr>
          <w:rFonts w:hint="eastAsia" w:ascii="Times New Roman" w:hAnsi="Times New Roman" w:eastAsia="仿宋_GB2312" w:cs="Times New Roman"/>
          <w:sz w:val="32"/>
          <w:szCs w:val="32"/>
          <w:lang w:eastAsia="zh-CN"/>
        </w:rPr>
      </w:pPr>
    </w:p>
    <w:p>
      <w:pPr>
        <w:numPr>
          <w:ilvl w:val="0"/>
          <w:numId w:val="0"/>
        </w:numPr>
        <w:ind w:firstLine="640" w:firstLineChars="200"/>
        <w:rPr>
          <w:rFonts w:hint="default" w:ascii="Times New Roman" w:hAnsi="Times New Roman" w:eastAsia="仿宋_GB2312" w:cs="Times New Roman"/>
          <w:sz w:val="32"/>
          <w:szCs w:val="32"/>
        </w:rPr>
      </w:pPr>
    </w:p>
    <w:p>
      <w:pPr>
        <w:numPr>
          <w:ilvl w:val="0"/>
          <w:numId w:val="0"/>
        </w:numPr>
        <w:ind w:firstLine="640" w:firstLineChars="200"/>
        <w:rPr>
          <w:rFonts w:hint="default" w:ascii="Times New Roman" w:hAnsi="Times New Roman" w:eastAsia="仿宋_GB2312" w:cs="Times New Roman"/>
          <w:sz w:val="32"/>
          <w:szCs w:val="32"/>
        </w:rPr>
      </w:pPr>
    </w:p>
    <w:p>
      <w:pPr>
        <w:numPr>
          <w:ilvl w:val="0"/>
          <w:numId w:val="0"/>
        </w:numPr>
        <w:ind w:firstLine="640" w:firstLineChars="200"/>
        <w:rPr>
          <w:rFonts w:hint="default" w:ascii="Times New Roman" w:hAnsi="Times New Roman" w:eastAsia="仿宋_GB2312" w:cs="Times New Roman"/>
          <w:sz w:val="32"/>
          <w:szCs w:val="32"/>
        </w:rPr>
      </w:pPr>
    </w:p>
    <w:p>
      <w:pPr>
        <w:rPr>
          <w:rFonts w:hint="eastAsia"/>
        </w:rPr>
      </w:pPr>
    </w:p>
    <w:p>
      <w:pPr>
        <w:numPr>
          <w:ilvl w:val="0"/>
          <w:numId w:val="0"/>
        </w:num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平台建设工作情况</w:t>
      </w:r>
    </w:p>
    <w:p>
      <w:pPr>
        <w:numPr>
          <w:ilvl w:val="0"/>
          <w:numId w:val="0"/>
        </w:num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按照《中华人民共和国信息公开条</w:t>
      </w:r>
      <w:r>
        <w:rPr>
          <w:rFonts w:hint="eastAsia" w:ascii="仿宋_GB2312" w:hAnsi="仿宋_GB2312" w:eastAsia="仿宋_GB2312" w:cs="仿宋_GB2312"/>
          <w:sz w:val="32"/>
          <w:szCs w:val="32"/>
          <w:lang w:val="en-US" w:eastAsia="zh-CN"/>
        </w:rPr>
        <w:t>例</w:t>
      </w:r>
      <w:bookmarkStart w:id="0" w:name="_GoBack"/>
      <w:bookmarkEnd w:id="0"/>
      <w:r>
        <w:rPr>
          <w:rFonts w:hint="eastAsia" w:ascii="仿宋_GB2312" w:hAnsi="仿宋_GB2312" w:eastAsia="仿宋_GB2312" w:cs="仿宋_GB2312"/>
          <w:sz w:val="32"/>
          <w:szCs w:val="32"/>
        </w:rPr>
        <w:t>》和省市要求，充分发挥管委会门户网站第一公开平台作用，加强各类信息公开的广度、深度、服务便利度，进一步推进管委会门户网站内容规范化、标准化。结合实际，全面优化“融公开”网站栏目设置，设立“政策文件、政府会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政府信息公开目录</w:t>
      </w:r>
      <w:r>
        <w:rPr>
          <w:rFonts w:hint="eastAsia" w:ascii="仿宋_GB2312" w:hAnsi="仿宋_GB2312" w:eastAsia="仿宋_GB2312" w:cs="仿宋_GB2312"/>
          <w:sz w:val="32"/>
          <w:szCs w:val="32"/>
        </w:rPr>
        <w:t>”等多个栏目，</w:t>
      </w:r>
      <w:r>
        <w:rPr>
          <w:rFonts w:hint="eastAsia" w:ascii="仿宋_GB2312" w:hAnsi="仿宋_GB2312" w:eastAsia="仿宋_GB2312" w:cs="仿宋_GB2312"/>
          <w:sz w:val="32"/>
          <w:szCs w:val="32"/>
          <w:lang w:val="en-US" w:eastAsia="zh-CN"/>
        </w:rPr>
        <w:t>随时</w:t>
      </w:r>
      <w:r>
        <w:rPr>
          <w:rFonts w:hint="eastAsia" w:ascii="仿宋_GB2312" w:hAnsi="仿宋_GB2312" w:eastAsia="仿宋_GB2312" w:cs="仿宋_GB2312"/>
          <w:sz w:val="32"/>
          <w:szCs w:val="32"/>
        </w:rPr>
        <w:t>做好内容更新维护。综合利用政务微博、微信等政务新媒体，扩大政府信息传播面，提升政府信息影响力。在区政务服务中心设立政务公开专区，提供政府信息查询、信息公开申请、办事咨询、政府信息打印复印等相关服务。开展政务公开宣传工作，定期向市报送政务公开宣传稿件，分享先进经验和做法，进一步扩大政务公开宣传服务水平。</w:t>
      </w:r>
    </w:p>
    <w:p>
      <w:pPr>
        <w:numPr>
          <w:ilvl w:val="0"/>
          <w:numId w:val="0"/>
        </w:numPr>
        <w:ind w:firstLine="640" w:firstLineChars="200"/>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3500120</wp:posOffset>
                </wp:positionH>
                <wp:positionV relativeFrom="paragraph">
                  <wp:posOffset>146685</wp:posOffset>
                </wp:positionV>
                <wp:extent cx="1948180" cy="2381250"/>
                <wp:effectExtent l="4445" t="4445" r="9525" b="14605"/>
                <wp:wrapNone/>
                <wp:docPr id="32" name="文本框 32"/>
                <wp:cNvGraphicFramePr/>
                <a:graphic xmlns:a="http://schemas.openxmlformats.org/drawingml/2006/main">
                  <a:graphicData uri="http://schemas.microsoft.com/office/word/2010/wordprocessingShape">
                    <wps:wsp>
                      <wps:cNvSpPr txBox="1"/>
                      <wps:spPr>
                        <a:xfrm>
                          <a:off x="4737100" y="4346575"/>
                          <a:ext cx="1948180" cy="2381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747520" cy="2273935"/>
                                  <wp:effectExtent l="0" t="0" r="5080" b="12065"/>
                                  <wp:docPr id="33" name="图片 33" descr="政务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政务公开"/>
                                          <pic:cNvPicPr>
                                            <a:picLocks noChangeAspect="1"/>
                                          </pic:cNvPicPr>
                                        </pic:nvPicPr>
                                        <pic:blipFill>
                                          <a:blip r:embed="rId11"/>
                                          <a:stretch>
                                            <a:fillRect/>
                                          </a:stretch>
                                        </pic:blipFill>
                                        <pic:spPr>
                                          <a:xfrm>
                                            <a:off x="0" y="0"/>
                                            <a:ext cx="1747520" cy="2273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6pt;margin-top:11.55pt;height:187.5pt;width:153.4pt;z-index:251665408;mso-width-relative:page;mso-height-relative:page;" fillcolor="#FFFFFF [3201]" filled="t" stroked="t" coordsize="21600,21600" o:gfxdata="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PB6JnXAAAACgEAAA8AAAAAAAAAAQAgAAAAIgAAAGRycy9kb3ducmV2LnhtbFBLAQIU&#10;ABQAAAAIAIdO4kB/dg6tZgIAAMYEAAAOAAAAAAAAAAEAIAAAACYBAABkcnMvZTJvRG9jLnhtbFBL&#10;BQYAAAAABgAGAFkBAAD+BQ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747520" cy="2273935"/>
                            <wp:effectExtent l="0" t="0" r="5080" b="12065"/>
                            <wp:docPr id="33" name="图片 33" descr="政务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政务公开"/>
                                    <pic:cNvPicPr>
                                      <a:picLocks noChangeAspect="1"/>
                                    </pic:cNvPicPr>
                                  </pic:nvPicPr>
                                  <pic:blipFill>
                                    <a:blip r:embed="rId11"/>
                                    <a:stretch>
                                      <a:fillRect/>
                                    </a:stretch>
                                  </pic:blipFill>
                                  <pic:spPr>
                                    <a:xfrm>
                                      <a:off x="0" y="0"/>
                                      <a:ext cx="1747520" cy="227393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1148080</wp:posOffset>
                </wp:positionH>
                <wp:positionV relativeFrom="paragraph">
                  <wp:posOffset>110490</wp:posOffset>
                </wp:positionV>
                <wp:extent cx="1774190" cy="2524760"/>
                <wp:effectExtent l="4445" t="5080" r="12065" b="22860"/>
                <wp:wrapNone/>
                <wp:docPr id="30" name="文本框 30"/>
                <wp:cNvGraphicFramePr/>
                <a:graphic xmlns:a="http://schemas.openxmlformats.org/drawingml/2006/main">
                  <a:graphicData uri="http://schemas.microsoft.com/office/word/2010/wordprocessingShape">
                    <wps:wsp>
                      <wps:cNvSpPr txBox="1"/>
                      <wps:spPr>
                        <a:xfrm>
                          <a:off x="2291080" y="4194810"/>
                          <a:ext cx="1774190" cy="2524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758950" cy="2285365"/>
                                  <wp:effectExtent l="0" t="0" r="12700" b="635"/>
                                  <wp:docPr id="31" name="图片 31" descr="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网页"/>
                                          <pic:cNvPicPr>
                                            <a:picLocks noChangeAspect="1"/>
                                          </pic:cNvPicPr>
                                        </pic:nvPicPr>
                                        <pic:blipFill>
                                          <a:blip r:embed="rId12"/>
                                          <a:stretch>
                                            <a:fillRect/>
                                          </a:stretch>
                                        </pic:blipFill>
                                        <pic:spPr>
                                          <a:xfrm>
                                            <a:off x="0" y="0"/>
                                            <a:ext cx="1758950" cy="2285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4pt;margin-top:8.7pt;height:198.8pt;width:139.7pt;z-index:251664384;mso-width-relative:page;mso-height-relative:page;" fillcolor="#FFFFFF [3201]" filled="t" stroked="t" coordsize="21600,21600" o:gfxdata="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bdz2Y1QAAAAoBAAAPAAAAAAAAAAEAIAAAACIAAABkcnMvZG93bnJldi54bWxQSwECFAAU&#10;AAAACACHTuJAnRA8iWYCAADGBAAADgAAAAAAAAABACAAAAAkAQAAZHJzL2Uyb0RvYy54bWxQSwUG&#10;AAAAAAYABgBZAQAA/AU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758950" cy="2285365"/>
                            <wp:effectExtent l="0" t="0" r="12700" b="635"/>
                            <wp:docPr id="31" name="图片 31" descr="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网页"/>
                                    <pic:cNvPicPr>
                                      <a:picLocks noChangeAspect="1"/>
                                    </pic:cNvPicPr>
                                  </pic:nvPicPr>
                                  <pic:blipFill>
                                    <a:blip r:embed="rId12"/>
                                    <a:stretch>
                                      <a:fillRect/>
                                    </a:stretch>
                                  </pic:blipFill>
                                  <pic:spPr>
                                    <a:xfrm>
                                      <a:off x="0" y="0"/>
                                      <a:ext cx="1758950" cy="2285365"/>
                                    </a:xfrm>
                                    <a:prstGeom prst="rect">
                                      <a:avLst/>
                                    </a:prstGeom>
                                  </pic:spPr>
                                </pic:pic>
                              </a:graphicData>
                            </a:graphic>
                          </wp:inline>
                        </w:drawing>
                      </w:r>
                    </w:p>
                  </w:txbxContent>
                </v:textbox>
              </v:shape>
            </w:pict>
          </mc:Fallback>
        </mc:AlternateContent>
      </w:r>
    </w:p>
    <w:p>
      <w:pPr>
        <w:numPr>
          <w:ilvl w:val="0"/>
          <w:numId w:val="0"/>
        </w:numPr>
        <w:ind w:firstLine="640" w:firstLineChars="200"/>
        <w:rPr>
          <w:rFonts w:hint="eastAsia" w:ascii="仿宋_GB2312" w:hAnsi="仿宋_GB2312" w:eastAsia="仿宋_GB2312" w:cs="仿宋_GB2312"/>
          <w:sz w:val="32"/>
          <w:szCs w:val="32"/>
        </w:rPr>
      </w:pPr>
    </w:p>
    <w:p>
      <w:pPr>
        <w:numPr>
          <w:ilvl w:val="0"/>
          <w:numId w:val="0"/>
        </w:numPr>
        <w:ind w:firstLine="640" w:firstLineChars="200"/>
        <w:rPr>
          <w:rFonts w:hint="eastAsia" w:ascii="仿宋_GB2312" w:hAnsi="仿宋_GB2312" w:eastAsia="仿宋_GB2312" w:cs="仿宋_GB2312"/>
          <w:sz w:val="32"/>
          <w:szCs w:val="32"/>
        </w:rPr>
      </w:pPr>
    </w:p>
    <w:p>
      <w:pPr>
        <w:numPr>
          <w:ilvl w:val="0"/>
          <w:numId w:val="0"/>
        </w:numPr>
        <w:ind w:firstLine="640" w:firstLineChars="200"/>
        <w:rPr>
          <w:rFonts w:hint="eastAsia" w:ascii="仿宋_GB2312" w:hAnsi="仿宋_GB2312" w:eastAsia="仿宋_GB2312" w:cs="仿宋_GB2312"/>
          <w:sz w:val="32"/>
          <w:szCs w:val="32"/>
        </w:rPr>
      </w:pPr>
    </w:p>
    <w:p>
      <w:pPr>
        <w:numPr>
          <w:ilvl w:val="0"/>
          <w:numId w:val="0"/>
        </w:numPr>
        <w:ind w:firstLine="640" w:firstLineChars="200"/>
        <w:rPr>
          <w:rFonts w:hint="eastAsia" w:ascii="仿宋_GB2312" w:hAnsi="仿宋_GB2312" w:eastAsia="仿宋_GB2312" w:cs="仿宋_GB2312"/>
          <w:sz w:val="32"/>
          <w:szCs w:val="32"/>
        </w:rPr>
      </w:pPr>
    </w:p>
    <w:p>
      <w:pPr>
        <w:numPr>
          <w:ilvl w:val="0"/>
          <w:numId w:val="0"/>
        </w:numPr>
        <w:ind w:firstLine="640" w:firstLineChars="200"/>
        <w:rPr>
          <w:rFonts w:hint="eastAsia" w:ascii="仿宋_GB2312" w:hAnsi="仿宋_GB2312" w:eastAsia="仿宋_GB2312" w:cs="仿宋_GB2312"/>
          <w:sz w:val="32"/>
          <w:szCs w:val="32"/>
        </w:rPr>
      </w:pPr>
    </w:p>
    <w:p>
      <w:pPr>
        <w:numPr>
          <w:ilvl w:val="0"/>
          <w:numId w:val="0"/>
        </w:numPr>
        <w:ind w:firstLine="640" w:firstLineChars="200"/>
        <w:rPr>
          <w:rFonts w:hint="eastAsia" w:ascii="仿宋_GB2312" w:hAnsi="仿宋_GB2312" w:eastAsia="仿宋_GB2312" w:cs="仿宋_GB2312"/>
          <w:sz w:val="32"/>
          <w:szCs w:val="32"/>
        </w:rPr>
      </w:pPr>
    </w:p>
    <w:p>
      <w:pPr>
        <w:numPr>
          <w:ilvl w:val="0"/>
          <w:numId w:val="0"/>
        </w:numPr>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lang w:eastAsia="zh-CN"/>
        </w:rPr>
        <w:t>）回应社会关切及互动交流情况。</w:t>
      </w:r>
    </w:p>
    <w:p>
      <w:pPr>
        <w:numPr>
          <w:ilvl w:val="0"/>
          <w:numId w:val="0"/>
        </w:num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在管委会门户网站设立了政民互动栏目，放大民生热线服务品牌效应，强化疑难问题督办力度，不断拓宽热线服务功能，回应事件数16次。</w:t>
      </w:r>
    </w:p>
    <w:p>
      <w:pPr>
        <w:numPr>
          <w:ilvl w:val="0"/>
          <w:numId w:val="0"/>
        </w:numPr>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六</w:t>
      </w:r>
      <w:r>
        <w:rPr>
          <w:rFonts w:hint="eastAsia" w:ascii="楷体_GB2312" w:hAnsi="楷体_GB2312" w:eastAsia="楷体_GB2312" w:cs="楷体_GB2312"/>
          <w:sz w:val="32"/>
          <w:szCs w:val="32"/>
          <w:lang w:eastAsia="zh-CN"/>
        </w:rPr>
        <w:t>）监督保障情况。</w:t>
      </w:r>
    </w:p>
    <w:p>
      <w:pPr>
        <w:ind w:firstLine="640" w:firstLineChars="200"/>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lang w:val="en-US" w:eastAsia="zh-CN"/>
        </w:rPr>
        <w:t>一是加强组织领导。</w:t>
      </w:r>
      <w:r>
        <w:rPr>
          <w:rFonts w:hint="default" w:ascii="Times New Roman" w:hAnsi="Times New Roman" w:eastAsia="仿宋_GB2312" w:cs="Times New Roman"/>
          <w:sz w:val="32"/>
          <w:szCs w:val="32"/>
        </w:rPr>
        <w:t>成立由区分管领导任组长的区政务公开工作领导小组，明确组成人员、主要职责、工作机构</w:t>
      </w:r>
      <w:r>
        <w:rPr>
          <w:rFonts w:hint="eastAsia"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工作要求，保障政务公开工作规范有序开展。各镇、区各部门按要求调整明确了政务公开工作的分管领导、主管科室和工作人员，夯实了立体化的协调、推进和落实机制。</w:t>
      </w:r>
    </w:p>
    <w:p>
      <w:pPr>
        <w:ind w:firstLine="420" w:firstLineChars="200"/>
        <w:jc w:val="center"/>
        <w:rPr>
          <w:rFonts w:hint="default" w:ascii="Times New Roman" w:hAnsi="Times New Roman" w:eastAsia="仿宋_GB2312" w:cs="Times New Roman"/>
          <w:sz w:val="32"/>
          <w:szCs w:val="32"/>
        </w:rPr>
      </w:pPr>
      <w:r>
        <w:rPr>
          <w:rFonts w:hint="eastAsia" w:eastAsiaTheme="minorEastAsia"/>
          <w:lang w:eastAsia="zh-CN"/>
        </w:rPr>
        <w:drawing>
          <wp:inline distT="0" distB="0" distL="114300" distR="114300">
            <wp:extent cx="1776730" cy="2533015"/>
            <wp:effectExtent l="0" t="0" r="13970" b="635"/>
            <wp:docPr id="3" name="图片 3" descr="领导小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领导小组1"/>
                    <pic:cNvPicPr>
                      <a:picLocks noChangeAspect="1"/>
                    </pic:cNvPicPr>
                  </pic:nvPicPr>
                  <pic:blipFill>
                    <a:blip r:embed="rId13"/>
                    <a:stretch>
                      <a:fillRect/>
                    </a:stretch>
                  </pic:blipFill>
                  <pic:spPr>
                    <a:xfrm>
                      <a:off x="0" y="0"/>
                      <a:ext cx="1776730" cy="2533015"/>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二是</w:t>
      </w:r>
      <w:r>
        <w:rPr>
          <w:rFonts w:hint="eastAsia" w:ascii="仿宋_GB2312" w:hAnsi="仿宋_GB2312" w:eastAsia="仿宋_GB2312" w:cs="仿宋_GB2312"/>
          <w:sz w:val="32"/>
          <w:szCs w:val="32"/>
        </w:rPr>
        <w:t>加强工作督导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政务信息公开的内容进行监督检查，定期形成信息公开工作报告，及时督促各部门整改，确保公开及时全面，准确。成立政务公开工作群，通过微信交流、电话交流等多种形式加强日常工作交流，及时解答工作中遇到的业务问题，指导促进各镇、各部门加强政务公开工作交流，增强了政务公开工作的整体合力。</w:t>
      </w:r>
    </w:p>
    <w:p>
      <w:pPr>
        <w:ind w:firstLine="640" w:firstLineChars="20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566035" cy="1924685"/>
            <wp:effectExtent l="0" t="0" r="5715" b="18415"/>
            <wp:docPr id="34" name="图片 34" descr="74016e70f815821da0b738d63b90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4016e70f815821da0b738d63b90a4c"/>
                    <pic:cNvPicPr>
                      <a:picLocks noChangeAspect="1"/>
                    </pic:cNvPicPr>
                  </pic:nvPicPr>
                  <pic:blipFill>
                    <a:blip r:embed="rId14"/>
                    <a:stretch>
                      <a:fillRect/>
                    </a:stretch>
                  </pic:blipFill>
                  <pic:spPr>
                    <a:xfrm>
                      <a:off x="0" y="0"/>
                      <a:ext cx="2566035" cy="1924685"/>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三是</w:t>
      </w:r>
      <w:r>
        <w:rPr>
          <w:rFonts w:hint="eastAsia" w:ascii="仿宋_GB2312" w:hAnsi="仿宋_GB2312" w:eastAsia="仿宋_GB2312" w:cs="仿宋_GB2312"/>
          <w:sz w:val="32"/>
          <w:szCs w:val="32"/>
        </w:rPr>
        <w:t>召开全区政务公开工作调度和培训会议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全区召开政府信息公开工作会议3次，安排部署政务公开具体任务，促进了整体业务水平的提升，</w:t>
      </w:r>
      <w:r>
        <w:rPr>
          <w:rFonts w:hint="eastAsia" w:ascii="仿宋_GB2312" w:hAnsi="仿宋_GB2312" w:eastAsia="仿宋_GB2312" w:cs="仿宋_GB2312"/>
          <w:sz w:val="32"/>
          <w:szCs w:val="32"/>
          <w:lang w:val="en-US" w:eastAsia="zh-CN"/>
        </w:rPr>
        <w:t>同时</w:t>
      </w:r>
      <w:r>
        <w:rPr>
          <w:rFonts w:hint="eastAsia" w:ascii="仿宋_GB2312" w:hAnsi="仿宋_GB2312" w:eastAsia="仿宋_GB2312" w:cs="仿宋_GB2312"/>
          <w:sz w:val="32"/>
          <w:szCs w:val="32"/>
        </w:rPr>
        <w:t>组织召开政府信息公开工作培训会议，提升工作人员业务水平。</w:t>
      </w:r>
    </w:p>
    <w:p>
      <w:pPr>
        <w:widowControl/>
        <w:shd w:val="clear" w:color="auto" w:fill="FFFFFF"/>
        <w:spacing w:line="640" w:lineRule="atLeast"/>
        <w:ind w:firstLine="640"/>
        <w:jc w:val="left"/>
        <w:rPr>
          <w:rFonts w:ascii="宋体" w:hAnsi="宋体" w:eastAsia="宋体" w:cs="宋体"/>
          <w:kern w:val="0"/>
          <w:sz w:val="24"/>
          <w:szCs w:val="24"/>
          <w:highlight w:val="none"/>
        </w:rPr>
      </w:pPr>
      <w:r>
        <w:rPr>
          <w:rFonts w:hint="eastAsia" w:ascii="黑体" w:hAnsi="黑体" w:eastAsia="黑体" w:cs="宋体"/>
          <w:kern w:val="0"/>
          <w:sz w:val="32"/>
          <w:szCs w:val="32"/>
          <w:highlight w:val="none"/>
        </w:rPr>
        <w:t>二、主动公开政府信息情况</w:t>
      </w:r>
    </w:p>
    <w:p>
      <w:pPr>
        <w:widowControl/>
        <w:shd w:val="clear" w:color="auto" w:fill="FFFFFF"/>
        <w:jc w:val="left"/>
        <w:rPr>
          <w:rFonts w:ascii="宋体" w:hAnsi="宋体" w:eastAsia="宋体" w:cs="宋体"/>
          <w:kern w:val="0"/>
          <w:sz w:val="24"/>
          <w:szCs w:val="24"/>
        </w:rPr>
      </w:pPr>
      <w:r>
        <w:rPr>
          <w:rFonts w:hint="eastAsia" w:ascii="宋体" w:hAnsi="宋体" w:eastAsia="宋体" w:cs="宋体"/>
          <w:b/>
          <w:bCs/>
          <w:kern w:val="0"/>
          <w:sz w:val="24"/>
          <w:szCs w:val="24"/>
        </w:rPr>
        <w:t> </w:t>
      </w:r>
    </w:p>
    <w:tbl>
      <w:tblPr>
        <w:tblStyle w:val="7"/>
        <w:tblW w:w="8931" w:type="dxa"/>
        <w:jc w:val="center"/>
        <w:tblLayout w:type="autofit"/>
        <w:tblCellMar>
          <w:top w:w="0" w:type="dxa"/>
          <w:left w:w="0" w:type="dxa"/>
          <w:bottom w:w="0" w:type="dxa"/>
          <w:right w:w="0" w:type="dxa"/>
        </w:tblCellMar>
      </w:tblPr>
      <w:tblGrid>
        <w:gridCol w:w="2694"/>
        <w:gridCol w:w="1985"/>
        <w:gridCol w:w="2030"/>
        <w:gridCol w:w="2222"/>
      </w:tblGrid>
      <w:tr>
        <w:tblPrEx>
          <w:tblCellMar>
            <w:top w:w="0" w:type="dxa"/>
            <w:left w:w="0" w:type="dxa"/>
            <w:bottom w:w="0" w:type="dxa"/>
            <w:right w:w="0" w:type="dxa"/>
          </w:tblCellMar>
        </w:tblPrEx>
        <w:trPr>
          <w:trHeight w:val="473" w:hRule="atLeast"/>
          <w:jc w:val="center"/>
        </w:trPr>
        <w:tc>
          <w:tcPr>
            <w:tcW w:w="8931" w:type="dxa"/>
            <w:gridSpan w:val="4"/>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第二十条第（一）项</w:t>
            </w:r>
          </w:p>
        </w:tc>
      </w:tr>
      <w:tr>
        <w:tblPrEx>
          <w:tblCellMar>
            <w:top w:w="0" w:type="dxa"/>
            <w:left w:w="0" w:type="dxa"/>
            <w:bottom w:w="0" w:type="dxa"/>
            <w:right w:w="0" w:type="dxa"/>
          </w:tblCellMar>
        </w:tblPrEx>
        <w:trPr>
          <w:trHeight w:val="550"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信息内容</w:t>
            </w:r>
          </w:p>
        </w:tc>
        <w:tc>
          <w:tcPr>
            <w:tcW w:w="19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本年新制作数量</w:t>
            </w:r>
          </w:p>
        </w:tc>
        <w:tc>
          <w:tcPr>
            <w:tcW w:w="20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本年新</w:t>
            </w:r>
          </w:p>
          <w:p>
            <w:pPr>
              <w:widowControl/>
              <w:jc w:val="center"/>
              <w:rPr>
                <w:rFonts w:ascii="宋体" w:hAnsi="宋体" w:eastAsia="宋体" w:cs="宋体"/>
                <w:kern w:val="0"/>
                <w:sz w:val="24"/>
                <w:szCs w:val="24"/>
              </w:rPr>
            </w:pPr>
            <w:r>
              <w:rPr>
                <w:rFonts w:hint="eastAsia" w:ascii="宋体" w:hAnsi="宋体" w:eastAsia="宋体" w:cs="宋体"/>
                <w:kern w:val="0"/>
                <w:sz w:val="24"/>
                <w:szCs w:val="24"/>
              </w:rPr>
              <w:t>公开数量</w:t>
            </w:r>
          </w:p>
        </w:tc>
        <w:tc>
          <w:tcPr>
            <w:tcW w:w="222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对外公开</w:t>
            </w:r>
          </w:p>
          <w:p>
            <w:pPr>
              <w:widowControl/>
              <w:jc w:val="center"/>
              <w:rPr>
                <w:rFonts w:ascii="宋体" w:hAnsi="宋体" w:eastAsia="宋体" w:cs="宋体"/>
                <w:kern w:val="0"/>
                <w:sz w:val="24"/>
                <w:szCs w:val="24"/>
              </w:rPr>
            </w:pPr>
            <w:r>
              <w:rPr>
                <w:rFonts w:hint="eastAsia" w:ascii="宋体" w:hAnsi="宋体" w:eastAsia="宋体" w:cs="宋体"/>
                <w:kern w:val="0"/>
                <w:sz w:val="24"/>
                <w:szCs w:val="24"/>
              </w:rPr>
              <w:t>总数量</w:t>
            </w:r>
          </w:p>
        </w:tc>
      </w:tr>
      <w:tr>
        <w:tblPrEx>
          <w:tblCellMar>
            <w:top w:w="0" w:type="dxa"/>
            <w:left w:w="0" w:type="dxa"/>
            <w:bottom w:w="0" w:type="dxa"/>
            <w:right w:w="0" w:type="dxa"/>
          </w:tblCellMar>
        </w:tblPrEx>
        <w:trPr>
          <w:trHeight w:val="558"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规章</w:t>
            </w:r>
          </w:p>
        </w:tc>
        <w:tc>
          <w:tcPr>
            <w:tcW w:w="19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 w:val="24"/>
                <w:szCs w:val="24"/>
              </w:rPr>
              <w:t>0</w:t>
            </w:r>
          </w:p>
        </w:tc>
        <w:tc>
          <w:tcPr>
            <w:tcW w:w="20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 w:val="24"/>
                <w:szCs w:val="24"/>
              </w:rPr>
              <w:t>0</w:t>
            </w:r>
          </w:p>
        </w:tc>
        <w:tc>
          <w:tcPr>
            <w:tcW w:w="222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 w:val="24"/>
                <w:szCs w:val="24"/>
              </w:rPr>
              <w:t>0</w:t>
            </w:r>
          </w:p>
        </w:tc>
      </w:tr>
      <w:tr>
        <w:tblPrEx>
          <w:tblCellMar>
            <w:top w:w="0" w:type="dxa"/>
            <w:left w:w="0" w:type="dxa"/>
            <w:bottom w:w="0" w:type="dxa"/>
            <w:right w:w="0" w:type="dxa"/>
          </w:tblCellMar>
        </w:tblPrEx>
        <w:trPr>
          <w:trHeight w:val="530"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规范性文件</w:t>
            </w:r>
          </w:p>
        </w:tc>
        <w:tc>
          <w:tcPr>
            <w:tcW w:w="19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 w:val="24"/>
                <w:szCs w:val="24"/>
              </w:rPr>
              <w:t>0</w:t>
            </w:r>
          </w:p>
        </w:tc>
        <w:tc>
          <w:tcPr>
            <w:tcW w:w="20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 w:val="24"/>
                <w:szCs w:val="24"/>
              </w:rPr>
              <w:t>0</w:t>
            </w:r>
          </w:p>
        </w:tc>
        <w:tc>
          <w:tcPr>
            <w:tcW w:w="222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 w:val="24"/>
                <w:szCs w:val="24"/>
              </w:rPr>
              <w:t>0</w:t>
            </w:r>
          </w:p>
        </w:tc>
      </w:tr>
      <w:tr>
        <w:tblPrEx>
          <w:tblCellMar>
            <w:top w:w="0" w:type="dxa"/>
            <w:left w:w="0" w:type="dxa"/>
            <w:bottom w:w="0" w:type="dxa"/>
            <w:right w:w="0" w:type="dxa"/>
          </w:tblCellMar>
        </w:tblPrEx>
        <w:trPr>
          <w:trHeight w:val="539" w:hRule="atLeast"/>
          <w:jc w:val="center"/>
        </w:trPr>
        <w:tc>
          <w:tcPr>
            <w:tcW w:w="8931"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第二十条第（五）项</w:t>
            </w:r>
          </w:p>
        </w:tc>
      </w:tr>
      <w:tr>
        <w:tblPrEx>
          <w:tblCellMar>
            <w:top w:w="0" w:type="dxa"/>
            <w:left w:w="0" w:type="dxa"/>
            <w:bottom w:w="0" w:type="dxa"/>
            <w:right w:w="0" w:type="dxa"/>
          </w:tblCellMar>
        </w:tblPrEx>
        <w:trPr>
          <w:trHeight w:val="623"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信息内容</w:t>
            </w:r>
          </w:p>
        </w:tc>
        <w:tc>
          <w:tcPr>
            <w:tcW w:w="19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上一年项目数量</w:t>
            </w:r>
          </w:p>
        </w:tc>
        <w:tc>
          <w:tcPr>
            <w:tcW w:w="20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本年增</w:t>
            </w:r>
            <w:r>
              <w:rPr>
                <w:rFonts w:ascii="Calibri" w:hAnsi="Calibri" w:eastAsia="宋体" w:cs="Calibri"/>
                <w:kern w:val="0"/>
                <w:sz w:val="24"/>
                <w:szCs w:val="24"/>
              </w:rPr>
              <w:t>/</w:t>
            </w:r>
            <w:r>
              <w:rPr>
                <w:rFonts w:hint="eastAsia" w:ascii="宋体" w:hAnsi="宋体" w:eastAsia="宋体" w:cs="宋体"/>
                <w:kern w:val="0"/>
                <w:sz w:val="24"/>
                <w:szCs w:val="24"/>
              </w:rPr>
              <w:t>减</w:t>
            </w:r>
          </w:p>
        </w:tc>
        <w:tc>
          <w:tcPr>
            <w:tcW w:w="222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处理决定数量</w:t>
            </w:r>
          </w:p>
        </w:tc>
      </w:tr>
      <w:tr>
        <w:tblPrEx>
          <w:tblCellMar>
            <w:top w:w="0" w:type="dxa"/>
            <w:left w:w="0" w:type="dxa"/>
            <w:bottom w:w="0" w:type="dxa"/>
            <w:right w:w="0" w:type="dxa"/>
          </w:tblCellMar>
        </w:tblPrEx>
        <w:trPr>
          <w:trHeight w:val="544"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行政许可</w:t>
            </w:r>
          </w:p>
        </w:tc>
        <w:tc>
          <w:tcPr>
            <w:tcW w:w="19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1230</w:t>
            </w:r>
          </w:p>
        </w:tc>
        <w:tc>
          <w:tcPr>
            <w:tcW w:w="20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+112</w:t>
            </w:r>
          </w:p>
        </w:tc>
        <w:tc>
          <w:tcPr>
            <w:tcW w:w="222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2210</w:t>
            </w:r>
          </w:p>
        </w:tc>
      </w:tr>
      <w:tr>
        <w:tblPrEx>
          <w:tblCellMar>
            <w:top w:w="0" w:type="dxa"/>
            <w:left w:w="0" w:type="dxa"/>
            <w:bottom w:w="0" w:type="dxa"/>
            <w:right w:w="0" w:type="dxa"/>
          </w:tblCellMar>
        </w:tblPrEx>
        <w:trPr>
          <w:trHeight w:val="536"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其他对外管理服务事项</w:t>
            </w:r>
          </w:p>
        </w:tc>
        <w:tc>
          <w:tcPr>
            <w:tcW w:w="19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20</w:t>
            </w:r>
          </w:p>
        </w:tc>
        <w:tc>
          <w:tcPr>
            <w:tcW w:w="20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+11</w:t>
            </w:r>
          </w:p>
        </w:tc>
        <w:tc>
          <w:tcPr>
            <w:tcW w:w="222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86</w:t>
            </w:r>
          </w:p>
        </w:tc>
      </w:tr>
      <w:tr>
        <w:tblPrEx>
          <w:tblCellMar>
            <w:top w:w="0" w:type="dxa"/>
            <w:left w:w="0" w:type="dxa"/>
            <w:bottom w:w="0" w:type="dxa"/>
            <w:right w:w="0" w:type="dxa"/>
          </w:tblCellMar>
        </w:tblPrEx>
        <w:trPr>
          <w:trHeight w:val="408" w:hRule="atLeast"/>
          <w:jc w:val="center"/>
        </w:trPr>
        <w:tc>
          <w:tcPr>
            <w:tcW w:w="8931"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第二十条第（六）项</w:t>
            </w:r>
          </w:p>
        </w:tc>
      </w:tr>
      <w:tr>
        <w:tblPrEx>
          <w:tblCellMar>
            <w:top w:w="0" w:type="dxa"/>
            <w:left w:w="0" w:type="dxa"/>
            <w:bottom w:w="0" w:type="dxa"/>
            <w:right w:w="0" w:type="dxa"/>
          </w:tblCellMar>
        </w:tblPrEx>
        <w:trPr>
          <w:trHeight w:val="481"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信息内容</w:t>
            </w:r>
          </w:p>
        </w:tc>
        <w:tc>
          <w:tcPr>
            <w:tcW w:w="19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上一年项目数量</w:t>
            </w:r>
          </w:p>
        </w:tc>
        <w:tc>
          <w:tcPr>
            <w:tcW w:w="20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本年增</w:t>
            </w:r>
            <w:r>
              <w:rPr>
                <w:rFonts w:ascii="Calibri" w:hAnsi="Calibri" w:eastAsia="宋体" w:cs="Calibri"/>
                <w:color w:val="auto"/>
                <w:kern w:val="0"/>
                <w:sz w:val="24"/>
                <w:szCs w:val="24"/>
              </w:rPr>
              <w:t>/</w:t>
            </w:r>
            <w:r>
              <w:rPr>
                <w:rFonts w:hint="eastAsia" w:ascii="宋体" w:hAnsi="宋体" w:eastAsia="宋体" w:cs="宋体"/>
                <w:color w:val="auto"/>
                <w:kern w:val="0"/>
                <w:sz w:val="24"/>
                <w:szCs w:val="24"/>
              </w:rPr>
              <w:t>减</w:t>
            </w:r>
          </w:p>
        </w:tc>
        <w:tc>
          <w:tcPr>
            <w:tcW w:w="222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处理决定数量</w:t>
            </w:r>
          </w:p>
        </w:tc>
      </w:tr>
      <w:tr>
        <w:tblPrEx>
          <w:tblCellMar>
            <w:top w:w="0" w:type="dxa"/>
            <w:left w:w="0" w:type="dxa"/>
            <w:bottom w:w="0" w:type="dxa"/>
            <w:right w:w="0" w:type="dxa"/>
          </w:tblCellMar>
        </w:tblPrEx>
        <w:trPr>
          <w:trHeight w:val="429"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行政处罚</w:t>
            </w:r>
          </w:p>
        </w:tc>
        <w:tc>
          <w:tcPr>
            <w:tcW w:w="19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406</w:t>
            </w:r>
          </w:p>
        </w:tc>
        <w:tc>
          <w:tcPr>
            <w:tcW w:w="20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+84</w:t>
            </w:r>
          </w:p>
        </w:tc>
        <w:tc>
          <w:tcPr>
            <w:tcW w:w="222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162</w:t>
            </w:r>
          </w:p>
        </w:tc>
      </w:tr>
      <w:tr>
        <w:tblPrEx>
          <w:tblCellMar>
            <w:top w:w="0" w:type="dxa"/>
            <w:left w:w="0" w:type="dxa"/>
            <w:bottom w:w="0" w:type="dxa"/>
            <w:right w:w="0" w:type="dxa"/>
          </w:tblCellMar>
        </w:tblPrEx>
        <w:trPr>
          <w:trHeight w:val="429"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行政强制</w:t>
            </w:r>
          </w:p>
        </w:tc>
        <w:tc>
          <w:tcPr>
            <w:tcW w:w="19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kern w:val="0"/>
                <w:sz w:val="24"/>
                <w:szCs w:val="24"/>
                <w:lang w:val="en-US" w:eastAsia="zh-CN"/>
              </w:rPr>
            </w:pPr>
            <w:r>
              <w:rPr>
                <w:rFonts w:hint="eastAsia" w:ascii="Times New Roman" w:hAnsi="Times New Roman" w:eastAsia="宋体" w:cs="Times New Roman"/>
                <w:kern w:val="0"/>
                <w:sz w:val="24"/>
                <w:szCs w:val="24"/>
                <w:lang w:val="en-US" w:eastAsia="zh-CN"/>
              </w:rPr>
              <w:t>10</w:t>
            </w:r>
          </w:p>
        </w:tc>
        <w:tc>
          <w:tcPr>
            <w:tcW w:w="203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 w:val="24"/>
                <w:szCs w:val="24"/>
              </w:rPr>
              <w:t>0</w:t>
            </w:r>
          </w:p>
        </w:tc>
        <w:tc>
          <w:tcPr>
            <w:tcW w:w="222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 w:val="24"/>
                <w:szCs w:val="24"/>
              </w:rPr>
              <w:t>0</w:t>
            </w:r>
          </w:p>
        </w:tc>
      </w:tr>
      <w:tr>
        <w:tblPrEx>
          <w:tblCellMar>
            <w:top w:w="0" w:type="dxa"/>
            <w:left w:w="0" w:type="dxa"/>
            <w:bottom w:w="0" w:type="dxa"/>
            <w:right w:w="0" w:type="dxa"/>
          </w:tblCellMar>
        </w:tblPrEx>
        <w:trPr>
          <w:trHeight w:val="471" w:hRule="atLeast"/>
          <w:jc w:val="center"/>
        </w:trPr>
        <w:tc>
          <w:tcPr>
            <w:tcW w:w="8931"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第二十条第（八）项</w:t>
            </w:r>
          </w:p>
        </w:tc>
      </w:tr>
      <w:tr>
        <w:tblPrEx>
          <w:tblCellMar>
            <w:top w:w="0" w:type="dxa"/>
            <w:left w:w="0" w:type="dxa"/>
            <w:bottom w:w="0" w:type="dxa"/>
            <w:right w:w="0" w:type="dxa"/>
          </w:tblCellMar>
        </w:tblPrEx>
        <w:trPr>
          <w:trHeight w:val="497"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信息内容</w:t>
            </w:r>
          </w:p>
        </w:tc>
        <w:tc>
          <w:tcPr>
            <w:tcW w:w="19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上一年项目数量</w:t>
            </w:r>
          </w:p>
        </w:tc>
        <w:tc>
          <w:tcPr>
            <w:tcW w:w="4252"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本年增</w:t>
            </w:r>
            <w:r>
              <w:rPr>
                <w:rFonts w:ascii="Calibri" w:hAnsi="Calibri" w:eastAsia="宋体" w:cs="Calibri"/>
                <w:kern w:val="0"/>
                <w:sz w:val="24"/>
                <w:szCs w:val="24"/>
              </w:rPr>
              <w:t>/</w:t>
            </w:r>
            <w:r>
              <w:rPr>
                <w:rFonts w:hint="eastAsia" w:ascii="宋体" w:hAnsi="宋体" w:eastAsia="宋体" w:cs="宋体"/>
                <w:kern w:val="0"/>
                <w:sz w:val="24"/>
                <w:szCs w:val="24"/>
              </w:rPr>
              <w:t>减</w:t>
            </w:r>
          </w:p>
        </w:tc>
      </w:tr>
      <w:tr>
        <w:tblPrEx>
          <w:tblCellMar>
            <w:top w:w="0" w:type="dxa"/>
            <w:left w:w="0" w:type="dxa"/>
            <w:bottom w:w="0" w:type="dxa"/>
            <w:right w:w="0" w:type="dxa"/>
          </w:tblCellMar>
        </w:tblPrEx>
        <w:trPr>
          <w:trHeight w:val="497"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行政事业性收费</w:t>
            </w:r>
          </w:p>
        </w:tc>
        <w:tc>
          <w:tcPr>
            <w:tcW w:w="19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w:t>
            </w:r>
          </w:p>
        </w:tc>
        <w:tc>
          <w:tcPr>
            <w:tcW w:w="4252"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 w:val="24"/>
                <w:szCs w:val="24"/>
              </w:rPr>
              <w:t>0</w:t>
            </w:r>
          </w:p>
        </w:tc>
      </w:tr>
      <w:tr>
        <w:tblPrEx>
          <w:tblCellMar>
            <w:top w:w="0" w:type="dxa"/>
            <w:left w:w="0" w:type="dxa"/>
            <w:bottom w:w="0" w:type="dxa"/>
            <w:right w:w="0" w:type="dxa"/>
          </w:tblCellMar>
        </w:tblPrEx>
        <w:trPr>
          <w:trHeight w:val="487" w:hRule="atLeast"/>
          <w:jc w:val="center"/>
        </w:trPr>
        <w:tc>
          <w:tcPr>
            <w:tcW w:w="8931"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第二十条第（九）项</w:t>
            </w:r>
          </w:p>
        </w:tc>
      </w:tr>
      <w:tr>
        <w:tblPrEx>
          <w:tblCellMar>
            <w:top w:w="0" w:type="dxa"/>
            <w:left w:w="0" w:type="dxa"/>
            <w:bottom w:w="0" w:type="dxa"/>
            <w:right w:w="0" w:type="dxa"/>
          </w:tblCellMar>
        </w:tblPrEx>
        <w:trPr>
          <w:trHeight w:val="408"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信息内容</w:t>
            </w:r>
          </w:p>
        </w:tc>
        <w:tc>
          <w:tcPr>
            <w:tcW w:w="19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采购项目数量</w:t>
            </w:r>
          </w:p>
        </w:tc>
        <w:tc>
          <w:tcPr>
            <w:tcW w:w="4252"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采购总金额</w:t>
            </w:r>
          </w:p>
        </w:tc>
      </w:tr>
      <w:tr>
        <w:tblPrEx>
          <w:tblCellMar>
            <w:top w:w="0" w:type="dxa"/>
            <w:left w:w="0" w:type="dxa"/>
            <w:bottom w:w="0" w:type="dxa"/>
            <w:right w:w="0" w:type="dxa"/>
          </w:tblCellMar>
        </w:tblPrEx>
        <w:trPr>
          <w:trHeight w:val="428" w:hRule="atLeast"/>
          <w:jc w:val="center"/>
        </w:trPr>
        <w:tc>
          <w:tcPr>
            <w:tcW w:w="269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政府集中采购</w:t>
            </w:r>
          </w:p>
        </w:tc>
        <w:tc>
          <w:tcPr>
            <w:tcW w:w="198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0</w:t>
            </w:r>
          </w:p>
        </w:tc>
        <w:tc>
          <w:tcPr>
            <w:tcW w:w="4252"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0</w:t>
            </w:r>
          </w:p>
        </w:tc>
      </w:tr>
    </w:tbl>
    <w:p>
      <w:pPr>
        <w:widowControl/>
        <w:shd w:val="clear" w:color="auto" w:fill="FFFFFF"/>
        <w:jc w:val="left"/>
        <w:rPr>
          <w:rFonts w:ascii="宋体" w:hAnsi="宋体" w:eastAsia="宋体" w:cs="宋体"/>
          <w:kern w:val="0"/>
          <w:sz w:val="24"/>
          <w:szCs w:val="24"/>
        </w:rPr>
      </w:pPr>
      <w:r>
        <w:rPr>
          <w:rFonts w:hint="eastAsia" w:ascii="黑体" w:hAnsi="黑体" w:eastAsia="黑体" w:cs="宋体"/>
          <w:kern w:val="0"/>
          <w:sz w:val="32"/>
          <w:szCs w:val="32"/>
        </w:rPr>
        <w:t>三、收到和处理政府信息公开申请情况</w:t>
      </w:r>
    </w:p>
    <w:tbl>
      <w:tblPr>
        <w:tblStyle w:val="7"/>
        <w:tblW w:w="9781" w:type="dxa"/>
        <w:tblInd w:w="-572" w:type="dxa"/>
        <w:tblLayout w:type="autofit"/>
        <w:tblCellMar>
          <w:top w:w="0" w:type="dxa"/>
          <w:left w:w="0" w:type="dxa"/>
          <w:bottom w:w="0" w:type="dxa"/>
          <w:right w:w="0" w:type="dxa"/>
        </w:tblCellMar>
      </w:tblPr>
      <w:tblGrid>
        <w:gridCol w:w="636"/>
        <w:gridCol w:w="1549"/>
        <w:gridCol w:w="2663"/>
        <w:gridCol w:w="565"/>
        <w:gridCol w:w="705"/>
        <w:gridCol w:w="704"/>
        <w:gridCol w:w="705"/>
        <w:gridCol w:w="705"/>
        <w:gridCol w:w="705"/>
        <w:gridCol w:w="844"/>
      </w:tblGrid>
      <w:tr>
        <w:tblPrEx>
          <w:tblCellMar>
            <w:top w:w="0" w:type="dxa"/>
            <w:left w:w="0" w:type="dxa"/>
            <w:bottom w:w="0" w:type="dxa"/>
            <w:right w:w="0" w:type="dxa"/>
          </w:tblCellMar>
        </w:tblPrEx>
        <w:trPr>
          <w:trHeight w:val="435" w:hRule="atLeast"/>
        </w:trPr>
        <w:tc>
          <w:tcPr>
            <w:tcW w:w="4820" w:type="dxa"/>
            <w:gridSpan w:val="3"/>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Cs w:val="21"/>
              </w:rPr>
              <w:t>（本列数据的勾稽关系为：第一项加第二项之和，等于第三项加第四项之和）</w:t>
            </w:r>
          </w:p>
        </w:tc>
        <w:tc>
          <w:tcPr>
            <w:tcW w:w="4961" w:type="dxa"/>
            <w:gridSpan w:val="7"/>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申请人情况</w:t>
            </w:r>
          </w:p>
        </w:tc>
      </w:tr>
      <w:tr>
        <w:tblPrEx>
          <w:tblCellMar>
            <w:top w:w="0" w:type="dxa"/>
            <w:left w:w="0" w:type="dxa"/>
            <w:bottom w:w="0" w:type="dxa"/>
            <w:right w:w="0" w:type="dxa"/>
          </w:tblCellMar>
        </w:tblPrEx>
        <w:trPr>
          <w:trHeight w:val="510" w:hRule="atLeast"/>
        </w:trPr>
        <w:tc>
          <w:tcPr>
            <w:tcW w:w="0" w:type="auto"/>
            <w:gridSpan w:val="3"/>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567"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自然人</w:t>
            </w:r>
          </w:p>
        </w:tc>
        <w:tc>
          <w:tcPr>
            <w:tcW w:w="3544" w:type="dxa"/>
            <w:gridSpan w:val="5"/>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法人或其他组织</w:t>
            </w:r>
          </w:p>
        </w:tc>
        <w:tc>
          <w:tcPr>
            <w:tcW w:w="850"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Cs w:val="21"/>
              </w:rPr>
              <w:t>总计</w:t>
            </w:r>
          </w:p>
        </w:tc>
      </w:tr>
      <w:tr>
        <w:tblPrEx>
          <w:tblCellMar>
            <w:top w:w="0" w:type="dxa"/>
            <w:left w:w="0" w:type="dxa"/>
            <w:bottom w:w="0" w:type="dxa"/>
            <w:right w:w="0" w:type="dxa"/>
          </w:tblCellMar>
        </w:tblPrEx>
        <w:trPr>
          <w:trHeight w:val="1125" w:hRule="atLeast"/>
        </w:trPr>
        <w:tc>
          <w:tcPr>
            <w:tcW w:w="0" w:type="auto"/>
            <w:gridSpan w:val="3"/>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Cs w:val="21"/>
              </w:rPr>
              <w:t>商业企业</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Cs w:val="21"/>
              </w:rPr>
              <w:t>科研机构</w:t>
            </w:r>
          </w:p>
        </w:tc>
        <w:tc>
          <w:tcPr>
            <w:tcW w:w="70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Cs w:val="21"/>
              </w:rPr>
              <w:t>社会公益组织</w:t>
            </w:r>
          </w:p>
        </w:tc>
        <w:tc>
          <w:tcPr>
            <w:tcW w:w="70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Cs w:val="21"/>
              </w:rPr>
              <w:t>法律服务机构</w:t>
            </w:r>
          </w:p>
        </w:tc>
        <w:tc>
          <w:tcPr>
            <w:tcW w:w="70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Cs w:val="21"/>
              </w:rPr>
              <w:t>其他</w:t>
            </w:r>
          </w:p>
        </w:tc>
        <w:tc>
          <w:tcPr>
            <w:tcW w:w="0" w:type="auto"/>
            <w:vMerge w:val="continue"/>
            <w:tcBorders>
              <w:top w:val="single" w:color="auto" w:sz="8" w:space="0"/>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r>
      <w:tr>
        <w:tblPrEx>
          <w:tblCellMar>
            <w:top w:w="0" w:type="dxa"/>
            <w:left w:w="0" w:type="dxa"/>
            <w:bottom w:w="0" w:type="dxa"/>
            <w:right w:w="0" w:type="dxa"/>
          </w:tblCellMar>
        </w:tblPrEx>
        <w:trPr>
          <w:trHeight w:val="435" w:hRule="atLeast"/>
        </w:trPr>
        <w:tc>
          <w:tcPr>
            <w:tcW w:w="4820"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Cs w:val="21"/>
              </w:rPr>
              <w:t>一、本年新收政府信息公开申请数量</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Cs w:val="21"/>
                <w:lang w:val="en-US" w:eastAsia="zh-CN"/>
              </w:rPr>
              <w:t>5</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Cs w:val="21"/>
                <w:lang w:val="en-US" w:eastAsia="zh-CN"/>
              </w:rPr>
              <w:t>5</w:t>
            </w:r>
          </w:p>
        </w:tc>
      </w:tr>
      <w:tr>
        <w:tblPrEx>
          <w:tblCellMar>
            <w:top w:w="0" w:type="dxa"/>
            <w:left w:w="0" w:type="dxa"/>
            <w:bottom w:w="0" w:type="dxa"/>
            <w:right w:w="0" w:type="dxa"/>
          </w:tblCellMar>
        </w:tblPrEx>
        <w:trPr>
          <w:trHeight w:val="390" w:hRule="atLeast"/>
        </w:trPr>
        <w:tc>
          <w:tcPr>
            <w:tcW w:w="4820"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Cs w:val="21"/>
              </w:rPr>
              <w:t>二、上年结转政府信息公开申请数量</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405" w:hRule="atLeast"/>
        </w:trPr>
        <w:tc>
          <w:tcPr>
            <w:tcW w:w="56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rPr>
                <w:rFonts w:ascii="宋体" w:hAnsi="宋体" w:eastAsia="宋体" w:cs="宋体"/>
                <w:kern w:val="0"/>
                <w:sz w:val="24"/>
                <w:szCs w:val="24"/>
              </w:rPr>
            </w:pPr>
            <w:r>
              <w:rPr>
                <w:rFonts w:hint="eastAsia" w:ascii="宋体" w:hAnsi="宋体" w:eastAsia="宋体" w:cs="宋体"/>
                <w:kern w:val="0"/>
                <w:szCs w:val="21"/>
              </w:rPr>
              <w:t>三、本年度办理结果</w:t>
            </w:r>
          </w:p>
        </w:tc>
        <w:tc>
          <w:tcPr>
            <w:tcW w:w="4253" w:type="dxa"/>
            <w:gridSpan w:val="2"/>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（一）予以公开</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color w:val="C00000"/>
                <w:kern w:val="0"/>
                <w:szCs w:val="21"/>
                <w:lang w:val="en-US" w:eastAsia="zh-CN"/>
              </w:rPr>
              <w:t>3</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color w:val="C00000"/>
                <w:kern w:val="0"/>
                <w:szCs w:val="21"/>
                <w:lang w:val="en-US" w:eastAsia="zh-CN"/>
              </w:rPr>
              <w:t>3</w:t>
            </w:r>
          </w:p>
        </w:tc>
      </w:tr>
      <w:tr>
        <w:tblPrEx>
          <w:tblCellMar>
            <w:top w:w="0" w:type="dxa"/>
            <w:left w:w="0" w:type="dxa"/>
            <w:bottom w:w="0" w:type="dxa"/>
            <w:right w:w="0" w:type="dxa"/>
          </w:tblCellMar>
        </w:tblPrEx>
        <w:trPr>
          <w:trHeight w:val="75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4253" w:type="dxa"/>
            <w:gridSpan w:val="2"/>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（二）部分公开（区分处理的，只计这一情形，不计其他情形）</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48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1560"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18"/>
                <w:szCs w:val="18"/>
              </w:rPr>
              <w:t>（三）不予公开</w:t>
            </w: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1．属于国家秘密</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75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2．其他法律行政法规禁止公开</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75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3．危及“三安全一稳定”</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375"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4．保护第三方合法权益</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75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5．属于三类内部事务信息</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39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6．属于四类过程性信息</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405"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7．属于行政执法案卷</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405"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8．属于行政查询事项</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75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1560"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18"/>
                <w:szCs w:val="18"/>
              </w:rPr>
              <w:t>（四）无法提供</w:t>
            </w: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1．本机关不掌握相关政府信息</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color w:val="C00000"/>
                <w:kern w:val="0"/>
                <w:szCs w:val="21"/>
                <w:lang w:val="en-US" w:eastAsia="zh-CN"/>
              </w:rPr>
              <w:t>1</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color w:val="C00000"/>
                <w:kern w:val="0"/>
                <w:szCs w:val="21"/>
                <w:lang w:val="en-US" w:eastAsia="zh-CN"/>
              </w:rPr>
              <w:t>1</w:t>
            </w:r>
          </w:p>
        </w:tc>
      </w:tr>
      <w:tr>
        <w:tblPrEx>
          <w:tblCellMar>
            <w:top w:w="0" w:type="dxa"/>
            <w:left w:w="0" w:type="dxa"/>
            <w:bottom w:w="0" w:type="dxa"/>
            <w:right w:w="0" w:type="dxa"/>
          </w:tblCellMar>
        </w:tblPrEx>
        <w:trPr>
          <w:trHeight w:val="75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2．没有现成信息需要另行制作</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75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3．补正后申请内容仍不明确</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375"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1560"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18"/>
                <w:szCs w:val="18"/>
              </w:rPr>
              <w:t>（五）不予处理</w:t>
            </w: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1．信访举报投诉类申请</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375"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2．重复申请</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375"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3．要求提供公开出版物</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75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 w:val="18"/>
                <w:szCs w:val="18"/>
              </w:rPr>
              <w:t>4．无正当理由大量反复申请</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750" w:hRule="atLeast"/>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pPr>
              <w:widowControl/>
              <w:ind w:left="180" w:hanging="180"/>
              <w:jc w:val="left"/>
              <w:rPr>
                <w:rFonts w:ascii="宋体" w:hAnsi="宋体" w:eastAsia="宋体" w:cs="宋体"/>
                <w:kern w:val="0"/>
                <w:sz w:val="24"/>
                <w:szCs w:val="24"/>
              </w:rPr>
            </w:pPr>
            <w:r>
              <w:rPr>
                <w:rFonts w:hint="eastAsia" w:ascii="宋体" w:hAnsi="宋体" w:eastAsia="宋体" w:cs="宋体"/>
                <w:kern w:val="0"/>
                <w:sz w:val="18"/>
                <w:szCs w:val="18"/>
              </w:rPr>
              <w:t>5．要求行政机关确认或重新出具已获取信息</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r>
        <w:tblPrEx>
          <w:tblCellMar>
            <w:top w:w="0" w:type="dxa"/>
            <w:left w:w="0" w:type="dxa"/>
            <w:bottom w:w="0" w:type="dxa"/>
            <w:right w:w="0" w:type="dxa"/>
          </w:tblCellMar>
        </w:tblPrEx>
        <w:trPr>
          <w:trHeight w:val="450" w:hRule="atLeast"/>
        </w:trPr>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Cs w:val="21"/>
              </w:rPr>
              <w:t> </w:t>
            </w:r>
          </w:p>
        </w:tc>
        <w:tc>
          <w:tcPr>
            <w:tcW w:w="4253"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18"/>
                <w:szCs w:val="18"/>
              </w:rPr>
              <w:t>（六）其他处理</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color w:val="C00000"/>
                <w:kern w:val="0"/>
                <w:szCs w:val="21"/>
                <w:lang w:val="en-US" w:eastAsia="zh-CN"/>
              </w:rPr>
              <w:t>1</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color w:val="C00000"/>
                <w:kern w:val="0"/>
                <w:szCs w:val="21"/>
                <w:lang w:val="en-US" w:eastAsia="zh-CN"/>
              </w:rPr>
              <w:t>1</w:t>
            </w:r>
          </w:p>
        </w:tc>
      </w:tr>
      <w:tr>
        <w:tblPrEx>
          <w:tblCellMar>
            <w:top w:w="0" w:type="dxa"/>
            <w:left w:w="0" w:type="dxa"/>
            <w:bottom w:w="0" w:type="dxa"/>
            <w:right w:w="0" w:type="dxa"/>
          </w:tblCellMar>
        </w:tblPrEx>
        <w:trPr>
          <w:trHeight w:val="405" w:hRule="atLeast"/>
        </w:trPr>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eastAsia="宋体" w:cs="宋体"/>
                <w:kern w:val="0"/>
                <w:sz w:val="24"/>
                <w:szCs w:val="24"/>
              </w:rPr>
            </w:pPr>
            <w:r>
              <w:rPr>
                <w:rFonts w:hint="eastAsia" w:ascii="宋体" w:hAnsi="宋体" w:eastAsia="宋体" w:cs="宋体"/>
                <w:kern w:val="0"/>
                <w:szCs w:val="21"/>
              </w:rPr>
              <w:t> </w:t>
            </w:r>
          </w:p>
        </w:tc>
        <w:tc>
          <w:tcPr>
            <w:tcW w:w="4253"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 w:val="18"/>
                <w:szCs w:val="18"/>
              </w:rPr>
              <w:t>（七）总计</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Cs w:val="21"/>
                <w:lang w:val="en-US" w:eastAsia="zh-CN"/>
              </w:rPr>
              <w:t>5</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Cs w:val="21"/>
                <w:lang w:val="en-US" w:eastAsia="zh-CN"/>
              </w:rPr>
              <w:t>5</w:t>
            </w:r>
          </w:p>
        </w:tc>
      </w:tr>
      <w:tr>
        <w:tblPrEx>
          <w:tblCellMar>
            <w:top w:w="0" w:type="dxa"/>
            <w:left w:w="0" w:type="dxa"/>
            <w:bottom w:w="0" w:type="dxa"/>
            <w:right w:w="0" w:type="dxa"/>
          </w:tblCellMar>
        </w:tblPrEx>
        <w:trPr>
          <w:trHeight w:val="375" w:hRule="atLeast"/>
        </w:trPr>
        <w:tc>
          <w:tcPr>
            <w:tcW w:w="4820"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hAnsi="宋体" w:eastAsia="宋体" w:cs="宋体"/>
                <w:kern w:val="0"/>
                <w:sz w:val="24"/>
                <w:szCs w:val="24"/>
              </w:rPr>
            </w:pPr>
            <w:r>
              <w:rPr>
                <w:rFonts w:hint="eastAsia" w:ascii="宋体" w:hAnsi="宋体" w:eastAsia="宋体" w:cs="宋体"/>
                <w:kern w:val="0"/>
                <w:szCs w:val="21"/>
              </w:rPr>
              <w:t>四、结转下年度继续办理</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bl>
    <w:p>
      <w:pPr>
        <w:widowControl/>
        <w:shd w:val="clear" w:color="auto" w:fill="FFFFFF"/>
        <w:spacing w:line="640" w:lineRule="atLeast"/>
        <w:jc w:val="left"/>
        <w:rPr>
          <w:rFonts w:ascii="宋体" w:hAnsi="宋体" w:eastAsia="宋体" w:cs="宋体"/>
          <w:kern w:val="0"/>
          <w:sz w:val="24"/>
          <w:szCs w:val="24"/>
        </w:rPr>
      </w:pPr>
      <w:r>
        <w:rPr>
          <w:rFonts w:hint="eastAsia" w:ascii="黑体" w:hAnsi="黑体" w:eastAsia="黑体" w:cs="宋体"/>
          <w:kern w:val="0"/>
          <w:sz w:val="32"/>
          <w:szCs w:val="32"/>
        </w:rPr>
        <w:t>四、政府信息公开行政复议、行政诉讼情况</w:t>
      </w:r>
    </w:p>
    <w:tbl>
      <w:tblPr>
        <w:tblStyle w:val="7"/>
        <w:tblW w:w="10206" w:type="dxa"/>
        <w:tblInd w:w="-572" w:type="dxa"/>
        <w:tblLayout w:type="autofit"/>
        <w:tblCellMar>
          <w:top w:w="0" w:type="dxa"/>
          <w:left w:w="0" w:type="dxa"/>
          <w:bottom w:w="0" w:type="dxa"/>
          <w:right w:w="0" w:type="dxa"/>
        </w:tblCellMar>
      </w:tblPr>
      <w:tblGrid>
        <w:gridCol w:w="708"/>
        <w:gridCol w:w="708"/>
        <w:gridCol w:w="709"/>
        <w:gridCol w:w="682"/>
        <w:gridCol w:w="594"/>
        <w:gridCol w:w="709"/>
        <w:gridCol w:w="709"/>
        <w:gridCol w:w="709"/>
        <w:gridCol w:w="708"/>
        <w:gridCol w:w="567"/>
        <w:gridCol w:w="851"/>
        <w:gridCol w:w="650"/>
        <w:gridCol w:w="767"/>
        <w:gridCol w:w="709"/>
        <w:gridCol w:w="426"/>
      </w:tblGrid>
      <w:tr>
        <w:tblPrEx>
          <w:tblCellMar>
            <w:top w:w="0" w:type="dxa"/>
            <w:left w:w="0" w:type="dxa"/>
            <w:bottom w:w="0" w:type="dxa"/>
            <w:right w:w="0" w:type="dxa"/>
          </w:tblCellMar>
        </w:tblPrEx>
        <w:trPr>
          <w:trHeight w:val="472" w:hRule="atLeast"/>
        </w:trPr>
        <w:tc>
          <w:tcPr>
            <w:tcW w:w="3402"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行政复议</w:t>
            </w:r>
          </w:p>
        </w:tc>
        <w:tc>
          <w:tcPr>
            <w:tcW w:w="6804" w:type="dxa"/>
            <w:gridSpan w:val="10"/>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行政诉讼</w:t>
            </w:r>
          </w:p>
        </w:tc>
      </w:tr>
      <w:tr>
        <w:tblPrEx>
          <w:tblCellMar>
            <w:top w:w="0" w:type="dxa"/>
            <w:left w:w="0" w:type="dxa"/>
            <w:bottom w:w="0" w:type="dxa"/>
            <w:right w:w="0" w:type="dxa"/>
          </w:tblCellMar>
        </w:tblPrEx>
        <w:trPr>
          <w:trHeight w:val="563" w:hRule="atLeast"/>
        </w:trPr>
        <w:tc>
          <w:tcPr>
            <w:tcW w:w="709"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结果维持</w:t>
            </w:r>
          </w:p>
        </w:tc>
        <w:tc>
          <w:tcPr>
            <w:tcW w:w="708"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结果纠正</w:t>
            </w:r>
          </w:p>
        </w:tc>
        <w:tc>
          <w:tcPr>
            <w:tcW w:w="709"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其他结果</w:t>
            </w:r>
          </w:p>
        </w:tc>
        <w:tc>
          <w:tcPr>
            <w:tcW w:w="682"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尚未审结</w:t>
            </w:r>
          </w:p>
        </w:tc>
        <w:tc>
          <w:tcPr>
            <w:tcW w:w="594"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总计</w:t>
            </w:r>
          </w:p>
        </w:tc>
        <w:tc>
          <w:tcPr>
            <w:tcW w:w="3402" w:type="dxa"/>
            <w:gridSpan w:val="5"/>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未经复议直接起诉</w:t>
            </w:r>
          </w:p>
        </w:tc>
        <w:tc>
          <w:tcPr>
            <w:tcW w:w="3402" w:type="dxa"/>
            <w:gridSpan w:val="5"/>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复议后起诉</w:t>
            </w:r>
          </w:p>
        </w:tc>
      </w:tr>
      <w:tr>
        <w:tblPrEx>
          <w:tblCellMar>
            <w:top w:w="0" w:type="dxa"/>
            <w:left w:w="0" w:type="dxa"/>
            <w:bottom w:w="0" w:type="dxa"/>
            <w:right w:w="0" w:type="dxa"/>
          </w:tblCellMar>
        </w:tblPrEx>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single" w:color="auto" w:sz="8" w:space="0"/>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single" w:color="auto" w:sz="8" w:space="0"/>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0" w:type="auto"/>
            <w:vMerge w:val="continue"/>
            <w:tcBorders>
              <w:top w:val="single" w:color="auto" w:sz="8" w:space="0"/>
              <w:left w:val="nil"/>
              <w:bottom w:val="single" w:color="auto" w:sz="8" w:space="0"/>
              <w:right w:val="single" w:color="auto" w:sz="8" w:space="0"/>
            </w:tcBorders>
            <w:vAlign w:val="center"/>
          </w:tcPr>
          <w:p>
            <w:pPr>
              <w:widowControl/>
              <w:jc w:val="left"/>
              <w:rPr>
                <w:rFonts w:ascii="宋体" w:hAnsi="宋体" w:eastAsia="宋体" w:cs="宋体"/>
                <w:kern w:val="0"/>
                <w:sz w:val="24"/>
                <w:szCs w:val="24"/>
              </w:rPr>
            </w:pP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结果维持</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结果纠正</w:t>
            </w:r>
          </w:p>
        </w:tc>
        <w:tc>
          <w:tcPr>
            <w:tcW w:w="70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其他结果</w:t>
            </w:r>
          </w:p>
        </w:tc>
        <w:tc>
          <w:tcPr>
            <w:tcW w:w="70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尚未审结</w:t>
            </w:r>
          </w:p>
        </w:tc>
        <w:tc>
          <w:tcPr>
            <w:tcW w:w="5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总计</w:t>
            </w:r>
          </w:p>
        </w:tc>
        <w:tc>
          <w:tcPr>
            <w:tcW w:w="85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结果维持</w:t>
            </w:r>
          </w:p>
        </w:tc>
        <w:tc>
          <w:tcPr>
            <w:tcW w:w="6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结果纠正</w:t>
            </w:r>
          </w:p>
        </w:tc>
        <w:tc>
          <w:tcPr>
            <w:tcW w:w="7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其他结果</w:t>
            </w:r>
          </w:p>
        </w:tc>
        <w:tc>
          <w:tcPr>
            <w:tcW w:w="70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尚未审结</w:t>
            </w:r>
          </w:p>
        </w:tc>
        <w:tc>
          <w:tcPr>
            <w:tcW w:w="42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总计</w:t>
            </w:r>
          </w:p>
        </w:tc>
      </w:tr>
      <w:tr>
        <w:tblPrEx>
          <w:tblCellMar>
            <w:top w:w="0" w:type="dxa"/>
            <w:left w:w="0" w:type="dxa"/>
            <w:bottom w:w="0" w:type="dxa"/>
            <w:right w:w="0" w:type="dxa"/>
          </w:tblCellMar>
        </w:tblPrEx>
        <w:trPr>
          <w:trHeight w:val="575" w:hRule="atLeast"/>
        </w:trPr>
        <w:tc>
          <w:tcPr>
            <w:tcW w:w="70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Times New Roman" w:hAnsi="Times New Roman" w:eastAsia="宋体" w:cs="Times New Roman"/>
                <w:kern w:val="0"/>
                <w:szCs w:val="21"/>
                <w:lang w:val="en-US" w:eastAsia="zh-CN"/>
              </w:rPr>
              <w:t>1</w:t>
            </w:r>
          </w:p>
        </w:tc>
        <w:tc>
          <w:tcPr>
            <w:tcW w:w="682"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59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ascii="Times New Roman" w:hAnsi="Times New Roman" w:eastAsia="宋体" w:cs="Times New Roman"/>
                <w:kern w:val="0"/>
                <w:szCs w:val="21"/>
                <w:lang w:val="en-US" w:eastAsia="zh-CN"/>
              </w:rPr>
              <w:t>1</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70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5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85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65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c>
          <w:tcPr>
            <w:tcW w:w="767"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70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ascii="Times New Roman" w:hAnsi="Times New Roman" w:eastAsia="宋体" w:cs="Times New Roman"/>
                <w:kern w:val="0"/>
                <w:szCs w:val="21"/>
              </w:rPr>
              <w:t>0</w:t>
            </w:r>
          </w:p>
        </w:tc>
        <w:tc>
          <w:tcPr>
            <w:tcW w:w="425"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eastAsia="宋体" w:cs="宋体"/>
                <w:kern w:val="0"/>
                <w:sz w:val="24"/>
                <w:szCs w:val="24"/>
              </w:rPr>
            </w:pPr>
            <w:r>
              <w:rPr>
                <w:rFonts w:hint="eastAsia" w:ascii="宋体" w:hAnsi="宋体" w:eastAsia="宋体" w:cs="宋体"/>
                <w:kern w:val="0"/>
                <w:szCs w:val="21"/>
              </w:rPr>
              <w:t>0</w:t>
            </w:r>
          </w:p>
        </w:tc>
      </w:tr>
    </w:tbl>
    <w:p>
      <w:pPr>
        <w:widowControl/>
        <w:numPr>
          <w:ilvl w:val="0"/>
          <w:numId w:val="3"/>
        </w:numPr>
        <w:shd w:val="clear" w:color="auto" w:fill="FFFFFF"/>
        <w:spacing w:line="640" w:lineRule="atLeast"/>
        <w:ind w:firstLine="640"/>
        <w:jc w:val="left"/>
        <w:rPr>
          <w:rFonts w:hint="default" w:ascii="Times New Roman" w:hAnsi="Times New Roman" w:eastAsia="仿宋_GB2312" w:cs="Times New Roman"/>
          <w:sz w:val="32"/>
          <w:szCs w:val="32"/>
        </w:rPr>
      </w:pPr>
      <w:r>
        <w:rPr>
          <w:rFonts w:hint="eastAsia" w:ascii="黑体" w:hAnsi="黑体" w:eastAsia="黑体" w:cs="宋体"/>
          <w:kern w:val="0"/>
          <w:sz w:val="32"/>
          <w:szCs w:val="32"/>
        </w:rPr>
        <w:t>存在的主要问题及改进情况</w:t>
      </w:r>
    </w:p>
    <w:p>
      <w:pPr>
        <w:widowControl/>
        <w:numPr>
          <w:ilvl w:val="0"/>
          <w:numId w:val="0"/>
        </w:numPr>
        <w:shd w:val="clear" w:color="auto" w:fill="FFFFFF"/>
        <w:spacing w:line="640" w:lineRule="atLeas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2020年，区管委会政务公开工作虽然取得了一定成效，但与社会公众对政府信息公开需求还存在一定的差距,主要表现在：</w:t>
      </w:r>
      <w:r>
        <w:rPr>
          <w:rFonts w:hint="default" w:ascii="Times New Roman" w:hAnsi="Times New Roman" w:eastAsia="仿宋_GB2312" w:cs="Times New Roman"/>
          <w:sz w:val="32"/>
          <w:szCs w:val="32"/>
          <w:lang w:val="en-US" w:eastAsia="zh-CN"/>
        </w:rPr>
        <w:t>一是</w:t>
      </w:r>
      <w:r>
        <w:rPr>
          <w:rFonts w:hint="default" w:ascii="Times New Roman" w:hAnsi="Times New Roman" w:eastAsia="仿宋_GB2312" w:cs="Times New Roman"/>
          <w:sz w:val="32"/>
          <w:szCs w:val="32"/>
        </w:rPr>
        <w:t>个别职能部门对政务公开工作的</w:t>
      </w:r>
      <w:r>
        <w:rPr>
          <w:rFonts w:hint="default" w:ascii="Times New Roman" w:hAnsi="Times New Roman" w:eastAsia="仿宋_GB2312" w:cs="Times New Roman"/>
          <w:sz w:val="32"/>
          <w:szCs w:val="32"/>
          <w:lang w:val="en-US" w:eastAsia="zh-CN"/>
        </w:rPr>
        <w:t>重视度不高，</w:t>
      </w:r>
      <w:r>
        <w:rPr>
          <w:rFonts w:hint="default" w:ascii="Times New Roman" w:hAnsi="Times New Roman" w:eastAsia="仿宋_GB2312" w:cs="Times New Roman"/>
          <w:sz w:val="32"/>
          <w:szCs w:val="32"/>
        </w:rPr>
        <w:t>对安排的政务公开任务敷衍了事，</w:t>
      </w:r>
      <w:r>
        <w:rPr>
          <w:rFonts w:hint="default" w:ascii="Times New Roman" w:hAnsi="Times New Roman" w:eastAsia="仿宋_GB2312" w:cs="Times New Roman"/>
          <w:sz w:val="32"/>
          <w:szCs w:val="32"/>
          <w:lang w:val="en-US" w:eastAsia="zh-CN"/>
        </w:rPr>
        <w:t>针对出现的</w:t>
      </w:r>
      <w:r>
        <w:rPr>
          <w:rFonts w:hint="default" w:ascii="Times New Roman" w:hAnsi="Times New Roman" w:eastAsia="仿宋_GB2312" w:cs="Times New Roman"/>
          <w:sz w:val="32"/>
          <w:szCs w:val="32"/>
        </w:rPr>
        <w:t>问题整改不积极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不彻底</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二是</w:t>
      </w:r>
      <w:r>
        <w:rPr>
          <w:rFonts w:hint="default" w:ascii="Times New Roman" w:hAnsi="Times New Roman" w:eastAsia="仿宋_GB2312" w:cs="Times New Roman"/>
          <w:sz w:val="32"/>
          <w:szCs w:val="32"/>
        </w:rPr>
        <w:t>人员业务水平有待加强。</w:t>
      </w:r>
      <w:r>
        <w:rPr>
          <w:rFonts w:hint="default" w:ascii="Times New Roman" w:hAnsi="Times New Roman" w:eastAsia="仿宋_GB2312" w:cs="Times New Roman"/>
          <w:sz w:val="32"/>
          <w:szCs w:val="32"/>
          <w:lang w:val="en-US" w:eastAsia="zh-CN"/>
        </w:rPr>
        <w:t>政务公开工作多为各部门一人兼职，</w:t>
      </w:r>
      <w:r>
        <w:rPr>
          <w:rFonts w:hint="default" w:ascii="Times New Roman" w:hAnsi="Times New Roman" w:eastAsia="仿宋_GB2312" w:cs="Times New Roman"/>
          <w:sz w:val="32"/>
          <w:szCs w:val="32"/>
        </w:rPr>
        <w:t>工作缺乏专业性、熟练性、连贯性，工作不细、标准不高，</w:t>
      </w:r>
      <w:r>
        <w:rPr>
          <w:rFonts w:hint="default" w:ascii="Times New Roman" w:hAnsi="Times New Roman" w:eastAsia="仿宋_GB2312" w:cs="Times New Roman"/>
          <w:sz w:val="32"/>
          <w:szCs w:val="32"/>
          <w:lang w:val="en-US" w:eastAsia="zh-CN"/>
        </w:rPr>
        <w:t>不利于</w:t>
      </w:r>
      <w:r>
        <w:rPr>
          <w:rFonts w:hint="default" w:ascii="Times New Roman" w:hAnsi="Times New Roman" w:eastAsia="仿宋_GB2312" w:cs="Times New Roman"/>
          <w:sz w:val="32"/>
          <w:szCs w:val="32"/>
        </w:rPr>
        <w:t>政务公开工作</w:t>
      </w:r>
      <w:r>
        <w:rPr>
          <w:rFonts w:hint="default" w:ascii="Times New Roman" w:hAnsi="Times New Roman" w:eastAsia="仿宋_GB2312" w:cs="Times New Roman"/>
          <w:sz w:val="32"/>
          <w:szCs w:val="32"/>
          <w:lang w:val="en-US" w:eastAsia="zh-CN"/>
        </w:rPr>
        <w:t>推进和开展</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三是公开渠道过于单一，</w:t>
      </w:r>
      <w:r>
        <w:rPr>
          <w:rFonts w:hint="default" w:ascii="Times New Roman" w:hAnsi="Times New Roman" w:eastAsia="仿宋_GB2312" w:cs="Times New Roman"/>
          <w:sz w:val="32"/>
          <w:szCs w:val="32"/>
        </w:rPr>
        <w:t>公开途径有待于进一步拓宽。</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采取措施：一是</w:t>
      </w:r>
      <w:r>
        <w:rPr>
          <w:rFonts w:hint="default" w:ascii="Times New Roman" w:hAnsi="Times New Roman" w:eastAsia="仿宋_GB2312" w:cs="Times New Roman"/>
          <w:sz w:val="32"/>
          <w:szCs w:val="32"/>
          <w:lang w:val="en-US" w:eastAsia="zh-CN"/>
        </w:rPr>
        <w:t>建立</w:t>
      </w:r>
      <w:r>
        <w:rPr>
          <w:rFonts w:hint="default" w:ascii="Times New Roman" w:hAnsi="Times New Roman" w:eastAsia="仿宋_GB2312" w:cs="Times New Roman"/>
          <w:sz w:val="32"/>
          <w:szCs w:val="32"/>
        </w:rPr>
        <w:t>政务公开考核机制。根据政务公开工作要点和任务要求，结合政务公开标准化规范化建设工作，</w:t>
      </w:r>
      <w:r>
        <w:rPr>
          <w:rFonts w:hint="default" w:ascii="Times New Roman" w:hAnsi="Times New Roman" w:eastAsia="仿宋_GB2312" w:cs="Times New Roman"/>
          <w:sz w:val="32"/>
          <w:szCs w:val="32"/>
          <w:lang w:val="en-US" w:eastAsia="zh-CN"/>
        </w:rPr>
        <w:t>建立</w:t>
      </w:r>
      <w:r>
        <w:rPr>
          <w:rFonts w:hint="default" w:ascii="Times New Roman" w:hAnsi="Times New Roman" w:eastAsia="仿宋_GB2312" w:cs="Times New Roman"/>
          <w:sz w:val="32"/>
          <w:szCs w:val="32"/>
        </w:rPr>
        <w:t>政务公开考核办法，督促各镇、各部门落实政府信息公开工作，提高信息公开工作的针对性和时效性。二是加强队伍建设。</w:t>
      </w:r>
      <w:r>
        <w:rPr>
          <w:rFonts w:hint="default" w:ascii="Times New Roman" w:hAnsi="Times New Roman" w:eastAsia="仿宋_GB2312" w:cs="Times New Roman"/>
          <w:sz w:val="32"/>
          <w:szCs w:val="32"/>
          <w:lang w:val="en-US" w:eastAsia="zh-CN"/>
        </w:rPr>
        <w:t>开展业务培训，同时</w:t>
      </w:r>
      <w:r>
        <w:rPr>
          <w:rFonts w:hint="default" w:ascii="Times New Roman" w:hAnsi="Times New Roman" w:eastAsia="仿宋_GB2312" w:cs="Times New Roman"/>
          <w:sz w:val="32"/>
          <w:szCs w:val="32"/>
        </w:rPr>
        <w:t>赴先进</w:t>
      </w:r>
      <w:r>
        <w:rPr>
          <w:rFonts w:hint="default" w:ascii="Times New Roman" w:hAnsi="Times New Roman" w:eastAsia="仿宋_GB2312" w:cs="Times New Roman"/>
          <w:sz w:val="32"/>
          <w:szCs w:val="32"/>
          <w:lang w:val="en-US" w:eastAsia="zh-CN"/>
        </w:rPr>
        <w:t>区县</w:t>
      </w:r>
      <w:r>
        <w:rPr>
          <w:rFonts w:hint="default" w:ascii="Times New Roman" w:hAnsi="Times New Roman" w:eastAsia="仿宋_GB2312" w:cs="Times New Roman"/>
          <w:sz w:val="32"/>
          <w:szCs w:val="32"/>
        </w:rPr>
        <w:t>学习政务公开专先进经验，提高工作业务水平，增强公开工作实效。三是加强对“互联网+”、微博、微信等新技术、新媒体的学习和应用。推进互联网和政府信息公开工作的深度融合，运用微博、微信主动及时向社会群众公开热点信息，推动本单位政府信息公开工作科学发展。</w:t>
      </w:r>
    </w:p>
    <w:p>
      <w:pPr>
        <w:rPr>
          <w:rFonts w:hint="eastAsia" w:ascii="黑体" w:hAnsi="黑体" w:eastAsia="黑体" w:cs="黑体"/>
          <w:sz w:val="32"/>
          <w:szCs w:val="32"/>
        </w:rPr>
      </w:pPr>
      <w:r>
        <w:rPr>
          <w:rFonts w:hint="eastAsia" w:ascii="黑体" w:hAnsi="黑体" w:eastAsia="黑体" w:cs="黑体"/>
          <w:sz w:val="32"/>
          <w:szCs w:val="32"/>
        </w:rPr>
        <w:t>六、其他需要报告的事项</w:t>
      </w:r>
    </w:p>
    <w:p>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无</w:t>
      </w:r>
    </w:p>
    <w:p>
      <w:pPr>
        <w:rPr>
          <w:rFonts w:hint="default" w:ascii="Times New Roman" w:hAnsi="Times New Roman" w:eastAsia="仿宋_GB2312"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8294D5"/>
    <w:multiLevelType w:val="singleLevel"/>
    <w:tmpl w:val="378294D5"/>
    <w:lvl w:ilvl="0" w:tentative="0">
      <w:start w:val="1"/>
      <w:numFmt w:val="decimal"/>
      <w:suff w:val="nothing"/>
      <w:lvlText w:val="%1、"/>
      <w:lvlJc w:val="left"/>
    </w:lvl>
  </w:abstractNum>
  <w:abstractNum w:abstractNumId="1">
    <w:nsid w:val="3DDDB326"/>
    <w:multiLevelType w:val="singleLevel"/>
    <w:tmpl w:val="3DDDB326"/>
    <w:lvl w:ilvl="0" w:tentative="0">
      <w:start w:val="5"/>
      <w:numFmt w:val="chineseCounting"/>
      <w:suff w:val="nothing"/>
      <w:lvlText w:val="%1、"/>
      <w:lvlJc w:val="left"/>
      <w:rPr>
        <w:rFonts w:hint="eastAsia"/>
      </w:rPr>
    </w:lvl>
  </w:abstractNum>
  <w:abstractNum w:abstractNumId="2">
    <w:nsid w:val="69684580"/>
    <w:multiLevelType w:val="singleLevel"/>
    <w:tmpl w:val="69684580"/>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25E"/>
    <w:rsid w:val="000D2AC3"/>
    <w:rsid w:val="004C4A95"/>
    <w:rsid w:val="0053119F"/>
    <w:rsid w:val="007D35E3"/>
    <w:rsid w:val="00841105"/>
    <w:rsid w:val="008E34FC"/>
    <w:rsid w:val="00931AFB"/>
    <w:rsid w:val="0094388E"/>
    <w:rsid w:val="00BC212D"/>
    <w:rsid w:val="00BF773B"/>
    <w:rsid w:val="00C27885"/>
    <w:rsid w:val="00D61490"/>
    <w:rsid w:val="00E017C9"/>
    <w:rsid w:val="00E426F9"/>
    <w:rsid w:val="00FF025E"/>
    <w:rsid w:val="048E6747"/>
    <w:rsid w:val="05F15D1B"/>
    <w:rsid w:val="10094400"/>
    <w:rsid w:val="1C5C460C"/>
    <w:rsid w:val="2E9F5832"/>
    <w:rsid w:val="44D51FF8"/>
    <w:rsid w:val="46AE3A2C"/>
    <w:rsid w:val="47446AA6"/>
    <w:rsid w:val="49EA7CF3"/>
    <w:rsid w:val="59150EA3"/>
    <w:rsid w:val="5E452C66"/>
    <w:rsid w:val="67025022"/>
    <w:rsid w:val="6C6E30B3"/>
    <w:rsid w:val="70636801"/>
    <w:rsid w:val="7065457F"/>
    <w:rsid w:val="73D14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页眉 Char"/>
    <w:basedOn w:val="8"/>
    <w:link w:val="5"/>
    <w:qFormat/>
    <w:uiPriority w:val="99"/>
    <w:rPr>
      <w:sz w:val="18"/>
      <w:szCs w:val="18"/>
    </w:rPr>
  </w:style>
  <w:style w:type="character" w:customStyle="1" w:styleId="10">
    <w:name w:val="页脚 Char"/>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655</Words>
  <Characters>3739</Characters>
  <Lines>31</Lines>
  <Paragraphs>8</Paragraphs>
  <TotalTime>7</TotalTime>
  <ScaleCrop>false</ScaleCrop>
  <LinksUpToDate>false</LinksUpToDate>
  <CharactersWithSpaces>4386</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2021-02-17T07:01:00Z</dcterms:created>
  <dc:creator>lenovo</dc:creator>
  <cp:lastModifiedBy>Administrator</cp:lastModifiedBy>
  <dcterms:modified xsi:type="dcterms:W3CDTF">2021-06-28T03:52:57Z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332D5224F9B84BD8BEADAF0A2EF95E78</vt:lpwstr>
  </property>
</Properties>
</file>